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820" w:right="1760" w:hanging="381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220" w:right="1740" w:hanging="4212"/>
        <w:spacing w:after="0" w:line="537" w:lineRule="auto"/>
        <w:tabs>
          <w:tab w:leader="none" w:pos="3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001-33624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84-1375299</w:t>
            </w:r>
          </w:p>
        </w:tc>
      </w:tr>
      <w:tr>
        <w:trPr>
          <w:trHeight w:val="216"/>
        </w:trPr>
        <w:tc>
          <w:tcPr>
            <w:tcW w:w="44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0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40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1885 West 2100 South, Salt Lake City, UT</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84119</w:t>
            </w:r>
          </w:p>
        </w:tc>
      </w:tr>
      <w:tr>
        <w:trPr>
          <w:trHeight w:val="238"/>
        </w:trPr>
        <w:tc>
          <w:tcPr>
            <w:tcW w:w="44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(801) 839-3500</w:t>
            </w: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8"/>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216"/>
        </w:trPr>
        <w:tc>
          <w:tcPr>
            <w:tcW w:w="4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439"/>
        </w:trPr>
        <w:tc>
          <w:tcPr>
            <w:tcW w:w="4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2,508,706 shares of common stock, $0.01 par value, were outstanding at May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40" w:right="339" w:bottom="24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222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220" w:type="dxa"/>
            <w:vAlign w:val="bottom"/>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80" w:type="dxa"/>
            <w:vAlign w:val="bottom"/>
          </w:tcPr>
          <w:p>
            <w:pPr>
              <w:spacing w:after="0"/>
              <w:rPr>
                <w:sz w:val="15"/>
                <w:szCs w:val="15"/>
                <w:color w:val="auto"/>
              </w:rPr>
            </w:pPr>
          </w:p>
        </w:tc>
        <w:tc>
          <w:tcPr>
            <w:tcW w:w="8840" w:type="dxa"/>
            <w:vAlign w:val="bottom"/>
            <w:gridSpan w:val="18"/>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222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3380" w:type="dxa"/>
            <w:vAlign w:val="bottom"/>
            <w:tcBorders>
              <w:bottom w:val="single" w:sz="8" w:color="CCEEFF"/>
            </w:tcBorders>
            <w:gridSpan w:val="2"/>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80" w:type="dxa"/>
            <w:vAlign w:val="bottom"/>
          </w:tcPr>
          <w:p>
            <w:pPr>
              <w:spacing w:after="0"/>
              <w:rPr>
                <w:sz w:val="15"/>
                <w:szCs w:val="15"/>
                <w:color w:val="auto"/>
              </w:rPr>
            </w:pPr>
          </w:p>
        </w:tc>
        <w:tc>
          <w:tcPr>
            <w:tcW w:w="8840" w:type="dxa"/>
            <w:vAlign w:val="bottom"/>
            <w:gridSpan w:val="18"/>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22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780" w:type="dxa"/>
            <w:vAlign w:val="bottom"/>
            <w:tcBorders>
              <w:bottom w:val="single" w:sz="8" w:color="CCEEFF"/>
            </w:tcBorders>
            <w:gridSpan w:val="3"/>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3920" w:type="dxa"/>
            <w:vAlign w:val="bottom"/>
            <w:tcBorders>
              <w:bottom w:val="single" w:sz="8" w:color="CCEEFF"/>
            </w:tcBorders>
            <w:gridSpan w:val="4"/>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76"/>
        </w:trPr>
        <w:tc>
          <w:tcPr>
            <w:tcW w:w="9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2220" w:type="dxa"/>
            <w:vAlign w:val="bottom"/>
            <w:shd w:val="clear" w:color="auto" w:fill="CCEEFF"/>
          </w:tcPr>
          <w:p>
            <w:pPr>
              <w:spacing w:after="0"/>
              <w:rPr>
                <w:sz w:val="15"/>
                <w:szCs w:val="15"/>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7240" w:type="dxa"/>
            <w:vAlign w:val="bottom"/>
            <w:tcBorders>
              <w:bottom w:val="single" w:sz="8" w:color="CCEEFF"/>
            </w:tcBorders>
            <w:gridSpan w:val="14"/>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8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222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180" w:type="dxa"/>
            <w:vAlign w:val="bottom"/>
            <w:tcBorders>
              <w:top w:val="single" w:sz="8" w:color="CCEEFF"/>
            </w:tcBorders>
          </w:tcPr>
          <w:p>
            <w:pPr>
              <w:spacing w:after="0"/>
              <w:rPr>
                <w:sz w:val="15"/>
                <w:szCs w:val="15"/>
                <w:color w:val="auto"/>
              </w:rPr>
            </w:pPr>
          </w:p>
        </w:tc>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5960" w:type="dxa"/>
            <w:vAlign w:val="bottom"/>
            <w:tcBorders>
              <w:top w:val="single" w:sz="8" w:color="CCEEFF"/>
            </w:tcBorders>
            <w:gridSpan w:val="9"/>
          </w:tcPr>
          <w:p>
            <w:pPr>
              <w:spacing w:after="0"/>
              <w:rPr>
                <w:sz w:val="15"/>
                <w:szCs w:val="15"/>
                <w:color w:val="auto"/>
              </w:rPr>
            </w:pPr>
          </w:p>
        </w:tc>
        <w:tc>
          <w:tcPr>
            <w:tcW w:w="222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6960" w:type="dxa"/>
            <w:vAlign w:val="bottom"/>
            <w:tcBorders>
              <w:bottom w:val="single" w:sz="8" w:color="CCEEFF"/>
            </w:tcBorders>
            <w:gridSpan w:val="12"/>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9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22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432"/>
        </w:trPr>
        <w:tc>
          <w:tcPr>
            <w:tcW w:w="760" w:type="dxa"/>
            <w:vAlign w:val="bottom"/>
            <w:tcBorders>
              <w:top w:val="single" w:sz="8" w:color="0000EE"/>
              <w:bottom w:val="single" w:sz="8" w:color="auto"/>
            </w:tcBorders>
            <w:gridSpan w:val="3"/>
          </w:tcPr>
          <w:p>
            <w:pPr>
              <w:spacing w:after="0"/>
              <w:rPr>
                <w:sz w:val="24"/>
                <w:szCs w:val="24"/>
                <w:color w:val="auto"/>
              </w:rPr>
            </w:pPr>
          </w:p>
        </w:tc>
        <w:tc>
          <w:tcPr>
            <w:tcW w:w="6440" w:type="dxa"/>
            <w:vAlign w:val="bottom"/>
            <w:tcBorders>
              <w:top w:val="single" w:sz="8" w:color="CCEEFF"/>
              <w:bottom w:val="single" w:sz="8" w:color="auto"/>
            </w:tcBorders>
            <w:gridSpan w:val="15"/>
          </w:tcPr>
          <w:p>
            <w:pPr>
              <w:jc w:val="right"/>
              <w:ind w:right="1540"/>
              <w:spacing w:after="0"/>
              <w:rPr>
                <w:sz w:val="20"/>
                <w:szCs w:val="20"/>
                <w:color w:val="auto"/>
              </w:rPr>
            </w:pPr>
            <w:r>
              <w:rPr>
                <w:rFonts w:ascii="Times New Roman" w:cs="Times New Roman" w:eastAsia="Times New Roman" w:hAnsi="Times New Roman"/>
                <w:sz w:val="18"/>
                <w:szCs w:val="18"/>
                <w:color w:val="auto"/>
              </w:rPr>
              <w:t>2</w:t>
            </w:r>
          </w:p>
        </w:tc>
        <w:tc>
          <w:tcPr>
            <w:tcW w:w="1820" w:type="dxa"/>
            <w:vAlign w:val="bottom"/>
            <w:tcBorders>
              <w:top w:val="single" w:sz="8" w:color="CCEEFF"/>
              <w:bottom w:val="single" w:sz="8" w:color="auto"/>
            </w:tcBorders>
          </w:tcPr>
          <w:p>
            <w:pPr>
              <w:spacing w:after="0"/>
              <w:rPr>
                <w:sz w:val="24"/>
                <w:szCs w:val="24"/>
                <w:color w:val="auto"/>
              </w:rPr>
            </w:pPr>
          </w:p>
        </w:tc>
        <w:tc>
          <w:tcPr>
            <w:tcW w:w="2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3,598</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and other receivables, net of allowance totaling $0.5 and $61.0 respectively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3,159</w:t>
            </w:r>
          </w:p>
        </w:tc>
        <w:tc>
          <w:tcPr>
            <w:tcW w:w="80" w:type="dxa"/>
            <w:vAlign w:val="bottom"/>
            <w:shd w:val="clear" w:color="auto" w:fill="CCEEFF"/>
          </w:tcPr>
          <w:p>
            <w:pPr>
              <w:spacing w:after="0"/>
              <w:rPr>
                <w:sz w:val="18"/>
                <w:szCs w:val="18"/>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9"/>
                <w:szCs w:val="19"/>
                <w:color w:val="auto"/>
              </w:rPr>
            </w:pPr>
          </w:p>
        </w:tc>
      </w:tr>
      <w:tr>
        <w:trPr>
          <w:trHeight w:val="20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B, $0.01 par value, 130,000,000 total shares authorized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inclusive of all series of preferred; 19 shares issued and outstanding as of March 31,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C, $0.01 par value, 130,000,000 total shares authorized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inclusive of all series of preferred; 50 shares issued and outstanding as of March 31,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D, $0.01 par value, 130,000,000 total shares authorized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inclusive of all series of preferred; 180 shares issued and outstanding as of March 31,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250,000,000 shares authorized; 2,516,311 and 1,342,853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2,486,646 and 1,342,853 outstanding as of March 31, 2025 and December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29,665 shares as of March 31,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290,183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285,619</w:t>
            </w:r>
          </w:p>
        </w:tc>
        <w:tc>
          <w:tcPr>
            <w:tcW w:w="80" w:type="dxa"/>
            <w:vAlign w:val="bottom"/>
            <w:shd w:val="clear" w:color="auto" w:fill="CCEEFF"/>
          </w:tcPr>
          <w:p>
            <w:pPr>
              <w:spacing w:after="0"/>
              <w:rPr>
                <w:sz w:val="18"/>
                <w:szCs w:val="18"/>
                <w:color w:val="auto"/>
              </w:rPr>
            </w:pPr>
          </w:p>
        </w:tc>
      </w:tr>
      <w:tr>
        <w:trPr>
          <w:trHeight w:val="23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(284,030)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(281,738)</w:t>
            </w: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condensed consolidated balance sheet as of December 31, 2024, has been prepared using information from the audited consolidated balance sheet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5"/>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Grant and contract revenue</w:t>
            </w:r>
          </w:p>
        </w:tc>
        <w:tc>
          <w:tcPr>
            <w:tcW w:w="340" w:type="dxa"/>
            <w:vAlign w:val="bottom"/>
          </w:tcPr>
          <w:p>
            <w:pPr>
              <w:spacing w:after="0"/>
              <w:rPr>
                <w:sz w:val="19"/>
                <w:szCs w:val="19"/>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340" w:type="dxa"/>
            <w:vAlign w:val="bottom"/>
          </w:tcPr>
          <w:p>
            <w:pPr>
              <w:spacing w:after="0"/>
              <w:rPr>
                <w:sz w:val="19"/>
                <w:szCs w:val="19"/>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223</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and contract expenses</w:t>
            </w:r>
          </w:p>
        </w:tc>
        <w:tc>
          <w:tcPr>
            <w:tcW w:w="340" w:type="dxa"/>
            <w:vAlign w:val="bottom"/>
          </w:tcPr>
          <w:p>
            <w:pPr>
              <w:spacing w:after="0"/>
              <w:rPr>
                <w:sz w:val="19"/>
                <w:szCs w:val="19"/>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40" w:type="dxa"/>
            <w:vAlign w:val="bottom"/>
          </w:tcPr>
          <w:p>
            <w:pPr>
              <w:spacing w:after="0"/>
              <w:rPr>
                <w:sz w:val="18"/>
                <w:szCs w:val="18"/>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of derivative liabilities</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340" w:type="dxa"/>
            <w:vAlign w:val="bottom"/>
          </w:tcPr>
          <w:p>
            <w:pPr>
              <w:spacing w:after="0"/>
              <w:rPr>
                <w:sz w:val="18"/>
                <w:szCs w:val="18"/>
                <w:color w:val="auto"/>
              </w:rPr>
            </w:pP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 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 net loss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1,772,732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86,314</w:t>
            </w: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6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1,774,343</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172,304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40" w:type="dxa"/>
            <w:vAlign w:val="bottom"/>
          </w:tcPr>
          <w:p>
            <w:pPr>
              <w:spacing w:after="0"/>
              <w:rPr>
                <w:sz w:val="21"/>
                <w:szCs w:val="21"/>
                <w:color w:val="auto"/>
              </w:rPr>
            </w:pPr>
          </w:p>
        </w:tc>
        <w:tc>
          <w:tcPr>
            <w:tcW w:w="15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9"/>
                <w:szCs w:val="19"/>
                <w:color w:val="auto"/>
              </w:rPr>
            </w:pPr>
          </w:p>
        </w:tc>
        <w:tc>
          <w:tcPr>
            <w:tcW w:w="10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$ 279,486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 cash, net of</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165,797</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issued for cash, net</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of fees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spacing w:after="0"/>
              <w:rPr>
                <w:sz w:val="20"/>
                <w:szCs w:val="20"/>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the</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for cash</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63,000</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$ 281,523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80" w:type="dxa"/>
            <w:vAlign w:val="bottom"/>
          </w:tcPr>
          <w:p>
            <w:pPr>
              <w:spacing w:after="0"/>
              <w:rPr>
                <w:sz w:val="21"/>
                <w:szCs w:val="21"/>
                <w:color w:val="auto"/>
              </w:rPr>
            </w:pPr>
          </w:p>
        </w:tc>
        <w:tc>
          <w:tcPr>
            <w:tcW w:w="15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08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1,342,853</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$ 285,619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2,264</w:t>
            </w:r>
          </w:p>
        </w:tc>
        <w:tc>
          <w:tcPr>
            <w:tcW w:w="42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 prefunded warrants</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 cash, net of fees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1,171,189</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the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common stock into</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w:t>
            </w:r>
          </w:p>
        </w:tc>
      </w:tr>
      <w:tr>
        <w:trPr>
          <w:trHeight w:val="223"/>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2,516,311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$ 290,183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(2,292)</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Armor</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subsidiary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 Employee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 Non-employee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159</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(87)</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 recoveries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90</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576</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operating lease liability</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Disposal, net of cash acquired</w:t>
            </w:r>
          </w:p>
        </w:tc>
        <w:tc>
          <w:tcPr>
            <w:tcW w:w="1120" w:type="dxa"/>
            <w:vAlign w:val="bottom"/>
          </w:tcPr>
          <w:p>
            <w:pPr>
              <w:spacing w:after="0"/>
              <w:rPr>
                <w:sz w:val="19"/>
                <w:szCs w:val="19"/>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spacing w:after="0"/>
              <w:rPr>
                <w:sz w:val="19"/>
                <w:szCs w:val="19"/>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warrant derivative liabilities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cash fees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4,399</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 into Treasury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exercise of warrants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on debt</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3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3,598</w:t>
            </w:r>
          </w:p>
        </w:tc>
        <w:tc>
          <w:tcPr>
            <w:tcW w:w="1140" w:type="dxa"/>
            <w:vAlign w:val="bottom"/>
          </w:tcPr>
          <w:p>
            <w:pPr>
              <w:spacing w:after="0"/>
              <w:rPr>
                <w:sz w:val="19"/>
                <w:szCs w:val="19"/>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3,340</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property, plant, and equipment from an accrual</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issued for prepaid insurance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Agent warrant offering cost allocated to equity</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for amended lease liability – increase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Non-cash disposal of subsidiary assets (see Note 2)</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(743)</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disposal of subsidiary liabilities (see Note 2)</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719</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SINTX Technologies, Inc. (“SINTX”, or “the Company”) and its wholly-owned subsidiaries, SINTX Armor, Inc. (“SINTX Armor”), and Technology Assessment and Transfer, Inc. (TA&amp;T) through February 19, 2025 (see Note 2), which are collectively referred to as “we” or “the Company.” SINTX Technologies is an advanced ceramics company formed in December 1996, focused on providing biomedical solutions for medical devices. We have grown from focusing primarily on the research, development and commercialization of medical devices manufactured with silicon nitride to becoming an advanced ceramics company engaged in diverse fields, including biomedical and antipathogenic applications. This diversification enables us to focus on our core competencies which are the manufacturing, research, and development of products comprised from advanced ceramic materials. We seek to connect with new customers, partners and manufacturers to help them realize the goal of leveraging our expertise in advanced ceramics to create new, innovative products across these sectors.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Core Business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Biomedical Applications</w:t>
      </w:r>
      <w:r>
        <w:rPr>
          <w:rFonts w:ascii="Times New Roman" w:cs="Times New Roman" w:eastAsia="Times New Roman" w:hAnsi="Times New Roman"/>
          <w:sz w:val="18"/>
          <w:szCs w:val="18"/>
          <w:color w:val="auto"/>
        </w:rPr>
        <w:t>: Since its inception, SINTX has been focused on medical grade silicon nitride. SINTX biomedical products have been shown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Bacterial infection of any biomaterial implants is always a concern. SINTX silicon nitride has been shown to be resistant to bacterial colonization and biofilm formation, making it antibacterial. SINTX silicon nitride products can be polished to a smooth and wear-resistant surface for articulating applications, such as bearings for hip and knee replacements.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Antipathogenic Applications</w:t>
      </w:r>
      <w:r>
        <w:rPr>
          <w:rFonts w:ascii="Times New Roman" w:cs="Times New Roman" w:eastAsia="Times New Roman" w:hAnsi="Times New Roman"/>
          <w:sz w:val="18"/>
          <w:szCs w:val="18"/>
          <w:color w:val="auto"/>
        </w:rPr>
        <w:t>: Today, there is a global need to improve protection against pathogens in everyday life. SINTX believes that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incorporating its unique composition of silicon nitride antipathogenic powder into products such as face masks, drapes, filters, sutures, and wound care devices, it is possible to manufacture surfaces that inactivate pathogens, thereby limiting the spread of infection and disease. The discovery in 2020 that SINTX silicon nitride inactivates SARS-CoV-2, the virus which causes the disease COVID-19, has opened new markets and applications for our material. We presently manufacture advanced ceramic powders and components in our manufacturing facilities based in Salt Lake City, Utah.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SINTX Salt Lake City facility is registered with the FDA, is cGMP and ANVISA RDC 665 compliant, as well as being ISO 9001:2015, ISO 13485:2016 certified, and ASD9100D certified. The Company’s products are primarily sold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rules and regulations of the United States Securities and Exchange Commission (“SEC”) and include all assets and liabilities of the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regulations allow the omission of certain information and footnote disclosures normally included in financial statements prepared in accordance with U.S. generally accepted accounting principles (“U.S. GAAP”) so long as the statements are not misleading. In the opinion of management, these financial statements and accompanying notes contain all adjustments (consisting of normal recurring adjustments) necessary to present fairly the financial position and results of operations for the periods presented herein. These condensed consolidated financial statements should be read in conjunction with the consolidated audited financial statements and notes thereto contained in the Company’s Annual Report on Form 10-K for the year ended December 31, 2024, filed with the SEC on March 19, 2025. The results of operations for the three months ended March 31, 2025, are not necessarily indicative of the results to be expected for the year ending December 31, 2025. The Company’s significant accounting policies are set forth in Note 1 to the consolidated financial statements in its Annual Report on Form 10-K for the year ended December 31,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28, 2024, the Company effected a 1 for 200 reverse stock split of the Company’s common stock. The par value and the authorized shares of the common and preferred stock were not adjusted as a result of the reverse stock split. All common stock shares, equivalents, and per-share amounts for all periods presented in these consolidated financial statements have been adjusted retroactively to reflect the reverse stock split.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period. Actual results could differ from those estimates. As of March 31, 2025, the most significant estimate relates to derivative liabilities relating to common stock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the Company will continue to operate as a going concern, which contemplates the realization of assets and settlement of liabilities in the normal course of business, and does not include any adjustments to reflect the possible future effects on the recoverability and classification of assets or the amounts and classifications of liabilities that may result from uncertainty related to its ability to continue as a going concern within one year from the date of issuance of these condensed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incurred a net loss of $2.3 million and $0.9 million, respectively, and used cash in operating activities of $1.3 million and $2.7 million, respectively. The Company had an accumulated deficit of $284 million and $282 million as of March 31, 2025, and December 31, 2024, respectively. We will require substantial future capital in order to continue operating our business, conduct research and development and regulatory clearance and approval activities necessary to bring our products to market, and to establish effective marketing and sales capabilities. Our existing capital resources are not sufficient to enable us to fund the completion of the development and commercialization of all our product candidates.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the Company’s operations have been principally financed from proceeds from the issuance of preferred and common stock and, to a lesser extent, cash generated from product sales. It is anticipated that the Company will continue to generate operating losses and use cash in operations. The Company’s continuation as a going concern is dependent upon its ability to increase sales, decrease expenses and raise additional funding. Whether and when the Company can attain profitability and positive cash flows from operations or obtain additional financing is uncertain.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25, 2021, the Company entered into an Equity Distribution Agreement ( the “ATM Agreement”) with Maxim Group LLC (the “Agent”) as sales agent, as amended on January 10, 2023 and October 12, 2023,pursuant to which the Company, could offer and sell shares of the Company’s common stock, par value $0.01 per share (the “Shares”), initially up to an aggregate offering price of $15,000,000, from time to time in an at-the-market public offering. On March 22, 2024, the Company suspended sales under the ATM Agreement and terminated the continuous offering. On July 11, 2024, the Company filed a Prospectus Supplement with the SEC adjusting the amount available for sale under the ATM Agreement to $3.1 million and shortly thereafter begin offering and selling Shares under the ATM Agreement to the public. During the year ended December 31, 2024, 602,357 Shares were sold under the ATM Agreement for gross proceeds of approximately $3.7 million. Because the Company is subject to General Instruction I.B.6 of Form S-3, it is restricted from selling securities in a public primary offering with a value exceeding one-third of its public float (the market value of our common stock held by our non-affiliates) in any 12-month period so long as its public float remains below $75.0 million. As of December 31, 2024, there was no capacity to offer and sell Shares under the ATM Agreement.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 2024, the Company closed a public offering of 80,000 units, with each unit consisting of one share of its common stock, or one pre-funded warrant to purchase one share of its common stock, one Class E Warrant with each warrant entitled to purchase one share of common stock, and one Class F Warrant with each warrant entitled to purchase one share of common stock. Each unit was sold at a public offering price of $50.00 resulting in gross proceeds to the Company of $4 million before deducting offering fees and expenses. The Class E and Class F Warrants in the units were immediately exercisable at a price of $50.00 per share. The Class E Warrants expire five years from the date of issuance and the Class F Warrants expire eighteen months from the date of issuance. Of the $4.0 million of gross proceeds, approximately $0.6 million were allocated to common stock and prefunded warrants ($0.5 million net of offering costs) and approximately $3.4 million were allocated to derivative liabilities (with approximately $0.5 million of cash offering costs and $0.1 million of agent warrant offering costs recorded as derivative expense).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closed a public offering of 142,000 shares of the Company’s common stock, (the “March 26 Offering”). Each Share was sold at a public offering price of $9.40. The aggregate proceeds to the Company from the March 26 Offering were approximately $1.3 million before deducting placement agent fees and other estimated offering expenses payable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Company closed a public offering of 358,000 shares of the Company’s common stock, (the “April 5 Offering”). Each Share was sold at a public offering price of $4.20. The aggregate proceeds to the Company from the April 5 Offering were approximately $1.5 million before deducting placement agent fees and other offering expenses payable by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20, 2025, the Company entered into a private placement transaction with certain institutional and accredited investors for aggregate gross proceeds of $5.0 million, before deducting fees to the placement agent and other expenses payable by the Company in connection with the Private Placement. As part of the Private Placement, the Company issued 1,171,189 shares of the Company’s common stock, par value $0.01 per share (“Common Stock”), pre-funded warrants to purchase 278,098 shares of Common Stock (the “Pre-Funded Warrants”) with an exercise price of $0.0001 per share, and warrants to purchase 1,449,287 shares of Common Stock (the “Common Warrants,” together with the Pre-Funded Warrants, the “Warrants”) (the Warrants, together with the Shares and Warrant Shares (as defined below), the “Securities”) with an exercise price of $3.32 per share. The purchase price per share of Common Stock and the associated Common Warrant was $3.45 and the purchase price per Pre-Funded Warrant and associated Common Warrant was $3.4499. The Common Warrants are exercisable immediately and expire five-and one-half years from issuance. The Pre-Funded Warrants are exercisable immediately and terminate when exercised in full.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actively seeking opportunities to raise additional equity and/or debt financing. However, such funding is not guaranteed and may not be available to the Company on favorable or acceptable terms and may involve significant restrictive covenants. Any additional equity financing, if available to the Company, will most likely be dilutive to its current stockholders. If the Company is not able to obtain additional debt or equity financing on a timely basis, the impact on the Company will be material and adverse.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Board of Directors, together with management, is performing an ongoing evaluation of the Company’s business strategy and focus.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option being evaluated is a change in strategic emphasis to advancements in the medical device sector. Historically engaged in both industrial and biomedical applications, SINTX would prioritize the development and commercialization of innovative medical devices, leveraging our expertise in advanced ceramics and biomaterials. Such a renewed focus would align with a commitment to improving patient outcomes through the creation of products designed for surgical, orthopedic, and other specialized medical applications. We would concentrate our resources on high-growth areas within the healthcare sector where our proprietary materials and technologies—such as silicon nitride—provide a distinct competitive advantage due to their unique strength, durability, and biocompatibility.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this transformation, SINTX’s aim would be to deliver meaningful innovations to the medical community. Our current research and development pipeline is centered on medical-grade devices that incorporate antimicrobial properties, enhanced imaging capabilities, and durability under physiological conditions, which are critical for orthopedic implants, spinal fusion devices, and other surgical tools. If we transition away from industrial applications, we anticipate this strategic shift will enable us to better serve the medical sector, address critical unmet needs, and position SINTX as a leading provider in the medical device market. By focusing on partnerships and collaborations with healthcare institutions and industry leaders, SINTX is positioned to expand its footprint in the medical device sector and drive shareholder value through sustainable, high-impact innovations, however, such a transition has not been approved by the Board of Directors, nor can such approval or successful transition be assured.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SINTX Technologies has initiated discussions with the leaseholder for our Armor location in Salt Lake City, Utah, to explore options for reducing the Company’s overall lease liability. This action aligns with our broader strategy to streamline operating expenses and the option to reallocate resources towards growth initiatives in the medical device sector. While these discussions reflect our commitment to financial optimization, there can be no assurance that negotiations will lead to a reduction in the existing lease liability. The outcome of these discussions remains uncertain, and SINTX will continue to evaluate additional measures to manage long-term obligations in alignment with our strategic objectives.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2024, the Board of Directors approved a plan to implement a Company-wide reduction in the workforce. This decision is part of the Company’s ongoing strategic review of its operations aimed at improving operational efficiency and reducing costs.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12, 2024, the Board of Directors of the Company approved a plan to cease efforts to make the armor plant operational. This decision was made to streamline operations and focus on core business areas that align with the Company’s long-term strategic goals. The armor plant has not been fully operational since the acquisition of the armor equipment in July 2021 and has been completely shut down since October 2023 due to the malfunctioning of the sintering furnace. In connection with this decision the Company incurred an impairment charge of approximately $4.6 million during the year ended December 31, 2024. This charge primarily relates to the write-down of certain long-lived assets associated with the armor plant to their estimated fair value.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insurance carrier has determined that a covered loss occurred when the sintering furnace malfunctioned, and coverage is available for the Company’s repair of the sintering furnace. However, the Company’s efforts to fully repair the damaged furnace continue to be delayed. Management will work with the insurance company to continue to fund the repair of the furnace. When the furnace is fully repaired, management intends to sell the furnace, and related equipment, to a third party. However, the full repair and sale of the furnace, and related equipment, cannot be assured. Therefore, in the calculation of the $4.6 million impairment charge, management has assumed no proceeds will be received from a potential sale of the furnace and related equipment.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explained in Note 2, on February 19, 2025, the Company entered into an Entity Acquisition Agreement (“the Agreement”) with Tethon Corporation (“Tethon”), pursuant to which the Company sold to Tethon all of the issued and outstanding shares of TA&amp;T in exchange for the assumption by Tethon of the outstanding liabilities of TA&amp;T. The Company expects that this will have a positive impact on the reduction of the net loss.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decrease in expenditures from the reduction in force and the increase in cash on February 20, 2025, SINTX management has determined that there is no significant uncertainty of the Company’s ability to continue as a going concern through at least May 15,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and Contract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grants, contracts, and awards provided by governmental agencies are recorded based upon the terms of the specific agreements, which generally provide that revenue is earned when the allowable costs specified in the applicable agreement have been incurred or a milestone has been met. Cash received from federal grants, contracts, and awards can be subject to audit by the grantor and, if the examination results in a disallowance of any expenditure, repayment could be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2023-07, Segment Reporting (Topic 280): Improvements to Reportable Segment Disclosures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improves reportable segment disclosure requirements, primarily through enhanced disclosures about significant segment expenses. The standard is effective for full year 2024 reporting, and for interim reporting beginning in 2025. The adoption of this ASU did not change the way the Company evaluates its reportable segments and, as a result, did not have a material impact on the Company’s segment-related disclosures.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2023-09, Income Taxes (Topic 740): Improvements to Income Tax Disclosures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2024-03, Income Statement—Reporting Comprehensive Income (Topic 220): Disaggregation of Income Statement Expenses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Disposition of TA&amp;T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the Company entered into an Entity Acquisition Agreement (“the Agreement”) with Tethon Corporation (“Tethon”), pursuant to which the Company sold to Tethon all of the issued and outstanding shares of TA&amp;T in exchange for the assumption by Tethon of the outstanding liabilities of TA&amp;T. The disposal did not represent a strategic shift that will have a major effect on the Company’s operations and financials and, therefore, did not qualify for discontinued operations treatment under ASC 205-20.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the major classes of assets and liabilities of TA&amp;T at the date of sale that were transferred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Tethon: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February 19, 2025</w:t>
            </w:r>
          </w:p>
        </w:tc>
      </w:tr>
      <w:tr>
        <w:trPr>
          <w:trHeight w:val="210"/>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2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0"/>
                <w:szCs w:val="20"/>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936" w:orient="portrait"/>
          <w:cols w:equalWidth="0" w:num="1">
            <w:col w:w="11240"/>
          </w:cols>
          <w:pgMar w:left="320" w:top="686"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Total assets sold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liabilities assumed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sold</w:t>
      </w:r>
    </w:p>
    <w:p>
      <w:pPr>
        <w:spacing w:after="0" w:line="20" w:lineRule="exact"/>
        <w:rPr>
          <w:sz w:val="20"/>
          <w:szCs w:val="20"/>
          <w:color w:val="auto"/>
        </w:rPr>
      </w:pPr>
      <w:r>
        <w:rPr>
          <w:sz w:val="20"/>
          <w:szCs w:val="20"/>
          <w:color w:val="auto"/>
        </w:rPr>
        <w:br w:type="column"/>
      </w:r>
    </w:p>
    <w:p>
      <w:pPr>
        <w:ind w:left="1860"/>
        <w:spacing w:after="0"/>
        <w:rPr>
          <w:sz w:val="20"/>
          <w:szCs w:val="20"/>
          <w:color w:val="auto"/>
        </w:rPr>
      </w:pPr>
      <w:r>
        <w:rPr>
          <w:rFonts w:ascii="Times New Roman" w:cs="Times New Roman" w:eastAsia="Times New Roman" w:hAnsi="Times New Roman"/>
          <w:sz w:val="18"/>
          <w:szCs w:val="18"/>
          <w:color w:val="auto"/>
        </w:rPr>
        <w:t>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-127635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14605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(275)</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5715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544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14605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3544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220"/>
          </w:cols>
          <w:pgMar w:left="320" w:top="135" w:right="359" w:bottom="1440" w:gutter="0" w:footer="0" w:header="0"/>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consideration was paid other than the assumption by Tethon of the above liabilities. No significant transaction costs were incurred. No earnout or other contingent consideration arrangements were included in the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Agreement were made only for purposes of the Agreement and as of specified dates, were solely for the benefit of the parties to the Agreement and may be subject to limitations agreed upon by the contracting parties, including being qualified by confidential disclosures exchanged between the parties in connection with the execution of the Agreement. The representations and warranties have been made for the purpose of allocating contractual risk between the parties to the Agreement instead of establishing these matters as facts and may be subject to a contractual standard of materiality different from what might be viewed as material to investors. Investors should not rely on the representations, warranties and covenants or any description thereof as characterizations of the actual state of facts or condition of the Company or Tethon. Moreover, information concerning the subject matter of the representations, warranties and covenants may change after the date of the Agreement, which subsequent information may or may not be fully reflected in public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Basic and Diluted Net Income (Loss) per Common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common shares outstanding for the period, without consideration for common stock equivalents. Diluted net loss per share is calculated by dividing the net loss by the weighted-average number of common share equivalents outstanding for the period that are determined to be dilutive. Common stock equivalents are primarily comprised of preferred stock and warrants for the purchase of common stock. The Company had potentially dilutive securities that were not included in the fully diluted loss per share calculation because they would have been antidilutive totaling approximately 2.1 million and 91 thousand as of March 31, 2025, and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three months ended March 31, 2025,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w:t>
            </w:r>
          </w:p>
        </w:tc>
      </w:tr>
      <w:tr>
        <w:trPr>
          <w:trHeight w:val="216"/>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1,772,732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1,774,343</w:t>
            </w: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three months ended March 31, 2024,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(3,732)</w:t>
            </w:r>
          </w:p>
        </w:tc>
      </w:tr>
      <w:tr>
        <w:trPr>
          <w:trHeight w:val="216"/>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85,990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172,304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(21.66)</w:t>
            </w:r>
          </w:p>
        </w:tc>
      </w:tr>
      <w:tr>
        <w:trPr>
          <w:trHeight w:val="414"/>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4"/>
                <w:szCs w:val="24"/>
                <w:color w:val="auto"/>
              </w:rPr>
            </w:pPr>
          </w:p>
        </w:tc>
        <w:tc>
          <w:tcPr>
            <w:tcW w:w="16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560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WIP</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6"/>
              </w:rPr>
              <w:t>868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inventories totaling approximately $0.4 million and $0.4 million were classified as current and long-term, respectively. Inventories classified as current represent the carrying value of inventories as of March 31, 2025, that management estimates will be sold or used by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and Recorded at Fair Value on a Recurring Basis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issued certain warrants to purchase shares of common stock, which are considered derivative liabilities because they have certain rights which could require a cash settlement and are re-measured to fair value at each reporting period in accordance with accounting guidance. Fair value is based on the price that would be received from selling an asset or paid to transfer a liability in an orderly transaction between market participants at the measurement date, under a three-tier fair value hierarchy which prioritizes the inputs used in measuring fair value as follows:</w:t>
      </w:r>
    </w:p>
    <w:p>
      <w:pPr>
        <w:spacing w:after="0" w:line="180"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7"/>
          <w:szCs w:val="17"/>
          <w:color w:val="auto"/>
        </w:rPr>
        <w:t>quoted market prices for identical assets or liabilities in active markets.</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7"/>
          <w:szCs w:val="17"/>
          <w:color w:val="auto"/>
        </w:rPr>
        <w:t>observable prices that are based on inputs not quoted on active markets but corroborated by market data.</w:t>
      </w:r>
    </w:p>
    <w:p>
      <w:pPr>
        <w:spacing w:after="0" w:line="225" w:lineRule="exact"/>
        <w:rPr>
          <w:sz w:val="20"/>
          <w:szCs w:val="20"/>
          <w:color w:val="auto"/>
        </w:rPr>
      </w:pPr>
    </w:p>
    <w:p>
      <w:pPr>
        <w:ind w:left="162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8"/>
          <w:szCs w:val="18"/>
          <w:color w:val="auto"/>
        </w:rPr>
        <w:t>unobservable inputs reflecting management’s assumptions, consistent with reasonably available assumptions made by other market participants. These valuations require significant judgment.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classifies assets and liabilities measured at fair value in their entirety based on the lowest level of input that is significant to their fair value measurement. No financial assets or liabilities (except the derivative liabilities explained above) were measured on a recurring basis as of March 31, 2025, and December 31, 2024. The following tables set forth the financial liabilities measured at fair value on a recurring basis by level within the fair value hierarchy as of March 31, 2025, and December 31, 2024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1"/>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 Measurements as of March 31, 2025</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427"/>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1"/>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414"/>
        </w:trPr>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have any transfers of assets and liabilities between Level 1 and Level 2 of the fair value measurement hierarchy during the three months ended March 31, 2025, and 2024. The following table presents a reconciliation of the derivative liabilities measured at fair value on a recurring basis using significant unobservable inputs (Level 3) during the three months ended March 31, 2025, and 2024 (in thousands):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9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280" w:type="dxa"/>
            <w:vAlign w:val="bottom"/>
          </w:tcPr>
          <w:p>
            <w:pPr>
              <w:spacing w:after="0"/>
              <w:rPr>
                <w:sz w:val="20"/>
                <w:szCs w:val="20"/>
                <w:color w:val="auto"/>
              </w:rPr>
            </w:pPr>
          </w:p>
        </w:tc>
        <w:tc>
          <w:tcPr>
            <w:tcW w:w="19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191"/>
        </w:trPr>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(304)</w:t>
            </w:r>
          </w:p>
        </w:tc>
        <w:tc>
          <w:tcPr>
            <w:tcW w:w="60" w:type="dxa"/>
            <w:vAlign w:val="bottom"/>
            <w:gridSpan w:val="3"/>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28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280" w:type="dxa"/>
            <w:vAlign w:val="bottom"/>
          </w:tcPr>
          <w:p>
            <w:pPr>
              <w:spacing w:after="0"/>
              <w:rPr>
                <w:sz w:val="21"/>
                <w:szCs w:val="21"/>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280" w:space="720"/>
            <w:col w:w="224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4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94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issued certain warrants to purchase shares of common stock, which are considered derivative liabilities because they have registration rights which could require a cash settlement and are re-measured to fair value at each reporting period in accordance with accounting guidance. As of March 31, 2025, and December 31, 2024, the derivative liability was calculated using the Monte Carlo Simulation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estimating the common stock warrant liability using the Monte Carlo simulation valuation model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22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3.85-3.99 %</w:t>
            </w:r>
          </w:p>
        </w:tc>
        <w:tc>
          <w:tcPr>
            <w:tcW w:w="4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4.12-4.35%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2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0.34-3.84</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0.10-4.09</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2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140.00-200.00 %</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140.00-210.00 %</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recorded values of cash and cash equivalents, account and other receivables, accounts payable and accrued liabilities approximate their fair values based on their short-term nature. The recorded value of notes payable approximates the fair value as the interest rate approximates market interest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2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2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Debt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TA&amp;T is obligated to repay certain personal loans made by the founders of TA&amp;T to TA&amp;T prior to SINTX’s acquisition of TA&amp;T (the “Personal Loans”). The total amount of the Personal Loans at June 30, 2022 was approximately $350,000. The Company agreed to repay the outstanding balance of the Personal Loans in (i) 24 equal monthly installments beginning September 1, 2022 and each month thereafter until paid in full as one prior owner’s portion of the Personal Loans totaling $157,000, and (ii) for the other owner’s portion of the Personal Loans totaling $193,000. The related party debt was paid in full during the third quarter of 2024 and there was no outstanding balance as of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Premium Finance Arrangements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in connection with securing commercial liability insurance, the Company entered into a Premium Finance Arrangement to extend the premium payment out for a period of 10 months. The Company paid a total of $26,000 up front toward the insurance premium and financed approximately $117,000. The Company made 10 equal payments under the terms of the Premium Finance Agreement. The Premium Finance Agreement bears interest at an annual percentage rate of 8.75%. The loan was paid in full during the first quarter of 2025 and there was no outstanding balance as of March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in connection with securing Director and Officer professional liability insurance, the Company entered into a Premium Finance Arrangement to extend the premium payment out for a period of 10 months. The Company paid a total of $26,000 up front toward the insurance premium and financed approximately $145,000. The Company will make 10 equal payments under the terms of the Premium Finance Agreement. The Premium Finance Agreement bears interest at an annual percentage rate of 7.450%. The outstanding balance as of March 31, 2025, totaled $131,000.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Capital Raise and registration of shares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20, 2025, entered into a private placement transaction pursuant to a Securities Purchase Agreement (the “Purchase Agreement”) with certain institutional and accredited investors for aggregate gross proceeds of $5.0 million, before deducting fees to the placement agent and other expenses payable by the Company in connection with the Private Placement. The Company intends to use the net proceeds from the Private Placement for general corporate purposes and working capital. H.C. Wainwright &amp; Co. (“Wainwright”), acted as the exclusive placement agent for the Private Placement, which closed on February 25, 2025. As part of the Private Placement, the Company issued (i) 1,171,189 shares of the Company’s common stock, par value $0.01 per share (“Common Stock”), (ii) pre-funded warrants to purchase 278,098 shares of Common Stock (the “Pre-Funded Warrants”) with an exercise price of $0.0001 per share, and (iii) warrants to purchase 1,449,287 shares of Common Stock (the “Common Warrants,” together with the Pre-Funded Warrants, the “Warrants”) (the Warrants, together with the Shares and Warrant Shares (as defined below), the “Securities”) with an exercise price of $3.32 per share. The purchase price per share of Common Stock and the associated Common Warrant was $3.45 and the purchase price per Pre-Funded Warrant and associated Common Warrant was $3.4499. The Common Warrants are exercisable immediately and expire five-and one-half years from issuance. The Pre-Funded Warrants are exercisable immediately and terminate when exercised in full. The Company filed an S-3 to register the above mentioned shares, effective March 27,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April Registered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Company closed a public offering 358,000 shares of the Company’s common stock, (the “Offering”). Each Share was sold at a public offering price of $4.20. The aggregate proceeds to the Company from the Offering were approximately $1.5 million before deducting placement agent fees and other estimated offering expenses payable by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2024 February Registered Offering</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 2024, the “Company closed on the public offering of 80,000 units consisting of (a)(i) 17,000 units (the “Common Units”) to purchase shares (the “Unit Shares”) of the Company’s Common Stock, par value $0.01 per share (the “Common Stock”) and (ii) 63,000 units (the “Pre-Funded Warrant Units” and together with the Common Units, the “Units”) to purchase pre-funded warrants (the “Pre-Funded Warrants and each share of Common Stock underlying a Pre-Funded Warrant, a “Pre-Funded Warrant Share”) to purchase up to 63,000 shares of Common Stock, (b) accompanying Class E warrants to purchase 80,000 shares of the Company’s Common Stock (the “Class E Warrants”), and (c) accompanying Class F warrants to purchase 80,000 shares of the Company’s Common Stock (the “Class F Warrants”). The aggregate proceeds to the Company from the Offering were approximately $4 million before deducting placement agent fees and other offering expenses payable by the Company. The offering was made pursuant to a securities purchase agreement (the “Purchase Agreement”) with certain investors (the “Purchasers”), and a placement agency agreement dated as of January 31, 2024 (the “PAA”) with Maxim Group LLC (the “Placement Agent”). Each Common Unit was sold at a public offering price of $50.00 and each Pre-Funded Warrant Unit was sold at a public offering price of $49.98. The Class E Warrants and the Class F Warrants are immediately exercisable (subject to the beneficial ownership cap at 4.99% or 9.99%) for one share of the Company’s Common Stock at an exercise price of $50.00 per share. The Class E Warrants will expire five years from the date of issuance and the Class F Warrants will expire 18 months from the date of issuance. Each Pre-Funded Warrant is exercisable for one share of the Company’s Common Stock at an exercise price of $0.0001 per share. The Pre-Funded Warrants are immediately exercisable (subject to the beneficial ownership cap at 4.99% or 9.99%) and may be exercised at any time until all of the Pre-Funded Warrants are exercised in full. The Company engaged Maxim Group LLC as the Company’s sole placement agent for the Offering pursuant to the PAA. Pursuant to the PAA, the Company agreed to pay the Placement Agent a cash placement fee equal to 7.0% of the gross proceeds of the Offering, plus reimbursement of certain expenses and legal fees up to $100,000. The Company also agreed to issue up to 640,000 Common Stock purchase warrants to the Placement Agent (the “Placement Agent Warrants”). The Placement Agent Warrants are exercisable at an exercise price of $55.00. The Placement Agent Warrants will be exercisable beginning July 31, 2024 and will expire five years after the commencement of sales in the offering.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March Registered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closed a public offering 142,000 shares of the Company’s common stock, (the “Offering”). Each Share was sold at a public offering price of $9.40. The aggregate proceeds to the Company from the Offering were approximately $1.3 million before deducting placement agent fees and other estimated offering expenses payable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Distribution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25, 2021, the Company entered into an Equity Distribution Agreement ( the “ATM Agreement”) with Maxim Group LLC (the “Agent”) as sales agent, as amended on January 10, 2023 and October 12, 2023,pursuant to which the Company, could offer and sell shares of the Company’s common stock, par value $0.01 per share (the “Shares”), initially up to an aggregate offering price of $15,000,000, from time to time in an at-the-market public offering. On March 22, 2024, the Company suspended sales under the ATM Agreement and terminated the continuous offering. On July 11, 2024, the Company filed a Prospectus Supplement with the SEC adjusting the amount available for sale under the ATM Agreement to $3.1 million and shortly thereafter begin offering and selling Shares under the ATM Agreement to the public. During the year ended December 31, 2024, 602,357 Shares were sold under the ATM Agreement for gross proceeds of approximately $3.7 million. Because the Company is subject to General Instruction I.B.6 of Form S-3, it is restricted from selling securities in a public primary offering with a value exceeding one-third of its public float (the market value of our common stock held by our non-affiliates) in any 12-month period so long as its public float remains below $75.0 million. As of December 31, 2024, there was no capacity to offer and sell Shares under the ATM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the Company’s outstanding stock option activity for the three months ended March 31, 2025, and 2024 is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97,196,800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March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3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34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50,034</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18.84</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50,009</w:t>
            </w:r>
          </w:p>
        </w:tc>
        <w:tc>
          <w:tcPr>
            <w:tcW w:w="3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10.78</w:t>
            </w:r>
          </w:p>
        </w:tc>
        <w:tc>
          <w:tcPr>
            <w:tcW w:w="3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3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2024</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66,112</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3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23,920</w:t>
            </w:r>
          </w:p>
        </w:tc>
        <w:tc>
          <w:tcPr>
            <w:tcW w:w="3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each stock option on the grant date using the Black-Scholes-Merton valuation model, which requires several estimates including an estimate of the fair value of the underlying common stock on grant date. The expected volatility was based on an average of the historical volatility of the Company. The expected term was contractual life of option. The risk-free interest rate was based on the U.S. Treasury yield curve in effect at the time of grant for the expected term of the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50,034 options outstanding as of March 31, 2025, 50,018 were awarded to non-executive members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stock-based compensation as of March 31, 2025,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Remaining of</w:t>
            </w:r>
          </w:p>
        </w:tc>
      </w:tr>
      <w:tr>
        <w:trPr>
          <w:trHeight w:val="230"/>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Recognition</w:t>
            </w:r>
          </w:p>
        </w:tc>
      </w:t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 grants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executed agreements with certain executive officers of the Company which, upon the occurrence of certain events related to a change in control, call for payments to the executives up to three times their annual salary and accelerated vesting of previously granted stock options.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legal proceedings covering matters that arise in the ordinary course of its business activities. Management believes any liability that may ultimately result from the resolution of these matters will not have a material adverse effect on the Company’s consolidated financial position, operating results 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multiple operating leases from which it conducts its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SINTX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SINTX operations, the Company leases 30,764 square feet of office, warehouse and manufacturing space under a single operating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expires in October 2031. The lease has one five-year extension option.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SINTX Armor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2021, the Company, on behalf of SINTX Armor, entered into an Industrial Lease Agreement (the “SINTX Armor Lease”) pursuant to which the Company has agreed to lease approximately 10,936 square feet of office and manufacturing space from which SINTX Armor will conduct its operations. The term of the SINTX Armor Lease is 122 months through October 2031. Impairment of operating lease right-of-use assets of $0.7 million was recorded during 2024 related to Armor exit costs, and is included in Armor exit costs in the statement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TA&amp;T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disposition of TA&amp;T, the lease facilities, including right of use assets and lease liabilities, were transferred to Tethon (see Note 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balance sheet. Lease expense is recognized on a straight-line basis over the term of the lease. The Company accounts for lease components separately from the non-lease components. The depreciable life of the assets and leasehold improvements are limited by the expected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operating lease right-of-use assets totaled approximately $2.7 million, and the operating lease liability totaled approximately $3.5 million. Non-cash operating lease expense during the three months ended March 31, 2025 and 2024, totaled approximately $0.1 and $0.2 million, respectively. As of March 31, 2025, the weighted-average discount rate for the Company’s operating lease was 8.8%.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future minimum payments together with the present values as of March 31, 2025,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19"/>
                <w:szCs w:val="19"/>
                <w:color w:val="auto"/>
              </w:rPr>
            </w:pPr>
          </w:p>
        </w:tc>
      </w:tr>
      <w:tr>
        <w:trPr>
          <w:trHeight w:val="209"/>
        </w:trPr>
        <w:tc>
          <w:tcPr>
            <w:tcW w:w="9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9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amounts representing interests</w:t>
            </w:r>
          </w:p>
        </w:tc>
        <w:tc>
          <w:tcPr>
            <w:tcW w:w="88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(1,172)</w:t>
            </w:r>
          </w:p>
        </w:tc>
      </w:tr>
      <w:tr>
        <w:trPr>
          <w:trHeight w:val="210"/>
        </w:trPr>
        <w:tc>
          <w:tcPr>
            <w:tcW w:w="9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8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Current-portion of operating lease liability</w:t>
            </w:r>
          </w:p>
        </w:tc>
        <w:tc>
          <w:tcPr>
            <w:tcW w:w="8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 operating lease liability</w:t>
            </w: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Board of Directors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appointed Jay M. Moyes, Robert D. Mitchell, Mark Anderson, Chris Lyons and Gregg Honigblum to the Board of Directors of the Company, effective April 3, 2025. Messrs. Moyes, Mitchell, Anderson, Lyons and Honigblum will serve until his respective successor has been duly elected or qualified. Mr. Moyes was appointed to Chair of the Audit Committee and a member of the Compensation Committee and Nominating and Governance Committee. Mr. Mitchell was appointed to Chair of the Nominating and Governance Committee and a member of the Audit Committee and Compensation Committee. Mr. Anderson was appointed to Chair of the Compensation Committee and a member of the Audit Committee and Nominating and Governance Committee. Mr. Lyons was appointed as a member of the Audit Committee, Compensation Committee and Nominating and Governance Committee. Mr. Moyes was appointed as a Class 1 director, Messrs. Mitchell and Lyons were appointed as Class 2 directors, and Messrs. Anderson and Honigblum were appointed as Class 3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 2025, the Board of Directors ( the “Board”) of SINTX Technologies, Inc. (the “Company”) approved and on May 5, 2025, the Company entered into new Executive Employment Agreements (the “Agreements”) with its Chief Executive Officer and President Eric K. Olson and its Chief Investment Officer Gregg Honigblum. The Agreements replace and supersede in their entirety the Executive Employment Agreements and the Change-in-Control Agreements previously entered into between the Company and Messer’s Olson and Honigblum.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for the year ended December 31, 2024 and the notes thereto, along with Management’s Discussion and Analysis of Financial Condition and Results of Operations, included in our Annual Report on Form 10-K for the year ended December 31, 2024, filed separately with the U.S. Securities and Exchange Commission. This discussion and analysis contains forward-looking statements based upon current beliefs, plans, expectations, intentions and projections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“Risk Factors” section of our Annual Report on Form 10-K for the year ended December 31, 2024, and any updates to those risk factors filed from time to time in our Quarterly Reports on Form 10-Q and in other filings with the Securities and Exchange Commission we may make from time-to-time.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SINTX Technologies is an advanced ceramics company formed in December 1996, focused on providing biomedical solutions for medical devices. We have grown from focusing primarily on the research, development and commercialization of medical devices manufactured with silicon nitride to becoming an advanced ceramics company engaged in diverse fields, including biomedical and antipathogenic applications. This diversification enables us to focus on our core competencies which are the manufacturing, research, and development of products comprised from advanced ceramic materials. We seek to connect with new customers, partners and manufacturers to help them realize the goal of leveraging our expertise in advanced ceramics to create new, innovative products across these sectors.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Core Business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Biomedical Applications</w:t>
      </w:r>
      <w:r>
        <w:rPr>
          <w:rFonts w:ascii="Times New Roman" w:cs="Times New Roman" w:eastAsia="Times New Roman" w:hAnsi="Times New Roman"/>
          <w:sz w:val="18"/>
          <w:szCs w:val="18"/>
          <w:color w:val="auto"/>
        </w:rPr>
        <w:t>: Since its inception, SINTX has been focused on medical grade silicon nitride. SINTX biomedical products have been shown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Bacterial infection of any biomaterial implants is always a concern. SINTX silicon nitride has been shown to be resistant to bacterial colonization and biofilm formation, making it antibacterial. SINTX silicon nitride products can be polished to a smooth and wear-resistant surface for articulating applications, such as bearings for hip and knee replacements.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Antipathogenic Applications</w:t>
      </w:r>
      <w:r>
        <w:rPr>
          <w:rFonts w:ascii="Times New Roman" w:cs="Times New Roman" w:eastAsia="Times New Roman" w:hAnsi="Times New Roman"/>
          <w:sz w:val="18"/>
          <w:szCs w:val="18"/>
          <w:color w:val="auto"/>
        </w:rPr>
        <w:t>: Today, there is a global need to improve protection against pathogens in everyday life. SINTX believes that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incorporating its unique composition of silicon nitride antipathogenic powder into products such as face masks, drapes, filters, sutures, and wound care devices, it is possible to manufacture surfaces that inactivate pathogens, thereby limiting the spread of infection and disease. The discovery in 2020 that SINTX silicon nitride inactivates SARS-CoV-2, the virus which causes the disease COVID-19, has opened new markets and applications for our material. We presently manufacture advanced ceramic powders and components in our manufacturing facilities based in Salt Lake City, Utah. The SINTX Salt Lake City facility is registered with the FDA, is cGMP and ANVISA RDC 665 compliant, as well as being ISO 9001:2015, ISO 13485:2016 certified, and ASD9100D certified. The Company’s products are primarily sold in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within one reportable segment, which is consistent with how our management reviews our business, makes investment and resource allocation decisions and assesses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revenue is derived from the manufacture and sale of products. These revenue sources primarily include coatings, materials, and components for aerospace and medical device markets, toll processing services, and government contracts and grants. We generally recognize revenue from sales where control transfers at a point in time as the title and risk of loss passes to the customer, which is at the time the product is shipped. In general, our customer does not have rights of return or exchange.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product revenue will increase as we secure opportunities to manufacture third party products with silicon nitride.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grant and contract revenue from awards provided by governmental agencies.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expenses that are included in cost of revenue include all in-house manufacturing costs for the products we manufacture.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measures our product revenue relative to our cost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are expensed as incurred. Research and development costs consist of engineering, product development, clinical trials, test-part manufacturing, testing, developing and validating the manufacturing process, manufacturing, facility and regulatory-related costs. Research and development expenses also include employee compensation, employee and non-employee stock-based compensation, supplies and materials, consultant services, and travel and facilities expenses related to research and development activities.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incur additional research and development costs as we continue to develop new medical devices, related product candidates for antipathogenic applications, and other products which may increase our total research and development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other related costs, including stock-based compensation for certain members of our executive team and other personnel employed in finance, compliance, administrative, information technology, customer service, executive and human resource departments. General and administrative expenses also include other expenses not part of the other cost categories mentioned above, including facility expenses and professional fees for accounting and legal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following is a tabular presentation of our unaudited condensed consolidated operating results for the three months ended March 31, 2025 and 2024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6"/>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 and contract revenue</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9"/>
                <w:szCs w:val="19"/>
                <w:color w:val="auto"/>
              </w:rPr>
            </w:pPr>
          </w:p>
        </w:tc>
        <w:tc>
          <w:tcPr>
            <w:tcW w:w="13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14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(903)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and contract expenses</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9"/>
                <w:szCs w:val="19"/>
                <w:color w:val="auto"/>
              </w:rPr>
            </w:pPr>
          </w:p>
        </w:tc>
        <w:tc>
          <w:tcPr>
            <w:tcW w:w="13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(222)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14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(2,220)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00" w:type="dxa"/>
            <w:vAlign w:val="bottom"/>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total product revenue remained relatively unchanged when compared to the same period in 2024. During the quarter ended March 31, 2025, grant and contract revenue decreased $0.3 million, or 79% as compared to the same period in 2024. The decrease was primarily due to the disposition of TA&amp;T (as further explained in the liquidity and capital resources section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cost of revenue remained relatively unchanged when compared to the same period in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research and development expenses decreased $0.9 million, or 45%, as compared to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primarily attributable to a decrease in payroll related costs, patent expenses, protypes, and outside consulting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general and administrative expenses remained primarily unchanged.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sales and marketing expenses decreased $0.1 million, or 27%, as compared to the same period in 2024. This decrease was primarily attributable to an overall decrease in payroll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and Contract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grant and contract expenses decreased $0.2 million, or 81%, as compared to the same period in 2024. This decrease was primarily attributable to the decrease in grant and contract revenue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other income decreased $2.2 million, or -96%, as compared to the same period in 2024. This decrease was primarily due to a $2.7 million decrease in the change in value of derivative liabilities offset by $0.5 million in offering costs associated with derivative liabilities in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we will continue to operate as a going concern, which contemplates the realization of assets and settlement of liabilities in the normal course of business, and does not include any adjustments to reflect the possible future effects on the recoverability and classification of assets or the amounts and classifications of liabilities that may result from uncertainty related to its ability to continue as a going concern within one year from the date of issuance of these condensed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and 2024, we incurred net loss of $2.3 million and $0.9 million, respectively, and used cash in operating activities of $1.3 million and $2.7 million, respectively. We had an accumulated deficit of $284 million and $282 million as of March 31, 2025, and December 31, 2024, respectively. We will require substantial future capital in order to continue operating our business, conduct research and development and regulatory clearance and approval activities necessary to bring our products to market, and to establish effective marketing and sales capabilities. Our existing capital resources are not sufficient to enable us to fund the completion of the development and commercialization of all our product candidates.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our operations have been principally financed from proceeds from the issuance of preferred and common stock and, to a lesser extent, cash generated from product sales. It is anticipated that we will continue to generate operating losses and use cash in operations. Our continuation as a going concern is dependent upon our ability to increase sales, decrease expenses and raise additional funding. Whether and when we can attain profitability and positive cash flows from operations or obtain additional financing is uncertain.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actively generating additional scientific and clinical data to have it published in leading industry publications. We believe the publication of such data would help sales efforts as we approach new prospects. We are also making additional changes to our sales strategy, including a focus on revenue growth by expanding the use of silicon nitride in other areas outside of spinal fusion applications. For instance, results from an independent study demonstrated the potential anti-viral properties of our silicon nitride.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20, 2025, we entered into a private placement transaction pursuant to a Securities Purchase Agreement (the “Purchase Agreement”) with certain institutional and accredited investors for aggregate gross proceeds of $5.0 million, before deducting fees to the placement agent and other expenses payable by us in connection with the Private Placement. We intend to use the net proceeds from the Private Placement for general corporate purposes and working capital. H.C. Wainwright &amp; Co. (“Wainwright”), acted as the exclusive placement agent for the Private Placement, which closed on February 25, 2025. As part of the Private Placement, we issued (i) 1,171,189 shares of our common stock, par value $0.01 per share (“Common Stock”), (ii) pre-funded warrants to purchase 278,098 shares of Common Stock (the “Pre-Funded Warrants”) with an exercise price of $0.0001 per share, and (iii) warrants to purchase 1,449,287 shares of Common Stock (the “Common Warrants,” together with the Pre-Funded Warrants, the “Warrants”) (the Warrants, together with the Shares and Warrant Shares (as defined below), the “Securities”) with an exercise price of $3.32 per share. The purchase price per share of Common Stock and the associated Common Warrant was $3.45 and the purchase price per Pre-Funded Warrant and associated Common Warrant was $3.4499. The Common Warrants are exercisable immediately and expire five-and one-half years from issuance. The Pre-Funded Warrants are exercisable immediately and terminate when exercised in full.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we closed a public offering 142,000 shares of our common stock, (the “March 26 Offering”) at a public offering price of $9.40 per share. The aggregate proceeds from the March 26 Offering were approximately $1.3 million before deducting placement agent fees and other estimated offering expenses payable by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we closed a public offering of 358,000 shares of our common stock, (the “April 5 Offering”) at a public offering price of $4.20 per share. The aggregate proceeds from the April 5 Offering were approximately $1.5 million before deducting placement agent fees and other offering expenses payable by us.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 2024, we closed a public offering of 80,000 units, with each unit consisting of one share of its common stock, or one pre-funded warrant to purchase one share of its common stock, one Class E Warrant with each warrant entitled to purchase one share of common stock, and one Class F Warrant with each warrant entitled to purchase one share of common stock. Each unit was sold at a public offering price of $50.00. The Class E and Class F Warrants were immediately exercisable at a price of $50.00 per share. The Class E Warrants expire five years from the date of issuance and the Class F Warrants expire eighteen months from the date of issuance. Of the $4.0 million of gross proceeds, approximately $0.6 million were allocated to common stock and prefunded warrants ($0.5 million net of offering costs) and approximately $3.4 million were allocated to derivative liabilities (with approximately $0.5 million of cash offering costs and $0.1 million of agent warrant offering costs recorded as derivative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906"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25, 2021, we entered into an Equity Distribution Agreement ( the “ATM Agreement”) with Maxim Group LLC (the “Agent”) as sales agent, as amended on January 10, 2023 and October 12, 2023, pursuant to which we could offer and sell shares of our common stock, par value $0.01 per share (the “Shares”), initially up to an aggregate offering price of $15,000,000, from time to time in an at-the-market public offering. On March 22, 2024, we suspended sales under the ATM Agreement and terminated the continuous offering. On July 11, 2024, we filed a Prospectus Supplement with the SEC adjusting the amount available for sale under the ATM Agreement to $3.1 million and shortly thereafter begin offering and selling Shares under the ATM Agreement to the public. During the year ended December 31, 2024, 602,357 Shares were sold under the ATM Agreement for gross proceeds of approximately $3.7 million. Because we are subject to General Instruction I.B.6 of Form S-3, we are restricted from selling securities in a public primary offering with a value exceeding one-third of our public float (the market value of our common stock held by our non-affiliates) in any 12-month period so long as our public float remains below $75.0 million. As of December 31, 2024, there was no capacity to offer and sell Shares under the ATM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2025, we entered into an Entity Acquisition Agreement (the “Agreement”) with Tethon Corporation (“Tethon”), pursuant to which the Company sold to Tethon all of the issued and outstanding shares of Technology Assessment and Transfer, Inc. (“TA&amp;T”), a wholly owned subsidiary of the Company, in exchange for the assumption by Tethon of the outstanding liabilities of TA&amp;T (the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decrease in expenditures from the reduction in force and the increase in cash on February 20, 2025, SINTX management has determined that there is no uncertainty of the Company’s ability to continue as a going concern through at least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cash flows from operating, investing and financing activities (in thousands) –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4,266</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$1.3 million during the three months ended March 31, 2025, compared to $2.7 million used during the three months ended March 31, 2024, a decrease of $1.3 million. The decrease in the net loss from operations, and related non-cash add backs to the net loss, was $1.2 million from 2025 when compared to 2024. The decrease in cash used for operating activities during 2025 was primarily due to the $1.2 million mentioned above plus changes in the movement of working capital items during 2025 as compared to the same period in 2024 as follows: a $0.3 million decrease in cash used in prepaid expenses, a $0.2 million decrease in accounts receivable, all offset by a $0.4 million increase in cash used in accounts payable and accrued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$0.1 million during the three months ended March 31, 2025, compared to $0.2 million during the three months ended March 31, 2024, a decrease of $0.1 million. The decrease in cash used in investing activities during 2024 was primarily due to a $0.1 million decrease in purchase of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$4.3 million in cash provided by financing activities during the three months ended March 31, 2025, compared to $5.3 million in cash provided by financing activities during the same period in 2024. The $1.0 million decrease to net cash provided by financing activities was primarily attributable to a decrease in proceeds from issuance of warrant derivative liabilities of $3.4 million offset by an increase in proceeds from issuance of common stock of $2.4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Premium Finance Arrangements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in connection with securing commercial liability insurance, we entered into a Premium Finance Arrangement to extend the premium payment out for a period of 10 months. We paid a total of $26,000 up front toward the insurance premium and financed approximately $117,000. The Premium Finance Agreement bore interest at an annual percentage rate of 8.75%. The loan was paid in full during the first quarter of 2025 and there was no outstanding balance at March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in connection with securing Director and Officer professional liability insurance, we entered into a Premium Finance Arrangement to extend the premium payment out for a period of 10 months. We paid a total of $26,000 up front toward the insurance premium and financed approximately $145,000. We will make 10 equal payments under the terms of the Premium Finance Agreement. The Premium Finance Agreement bears interest at an annual percentage rate of 7.450%.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 of Regulation S-K.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summary of our significant accounting policies and estimates is discussed in Management’s Discussion and Analysis of Financial Condition and Results of Operations and in Note 1 to our consolidated financial statements included in our Annual Report on Form 10-K for the year ended December 31, 2024. There have been no material changes to those policies for the three months ended March 31, 2025. The preparation of the consolidated financial statements in accordance with U.S. generally accepted accounting principles requires us to make judgments, estimates and assumptions regarding uncertainties that affect the reported amounts of assets and liabilities. Significant areas of uncertainty that require judgments, estimates and assumptions include the accounting for income taxes and other contingencies as well as valuation of derivative liabilities, asset impairment and collectability of accounts receivable. We use historical and other information that we consider to be relevant to make these judgments and estimates. However, actual results may differ from those estimates and assumptions that are used to prepare our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2023-07, Segment Reporting (Topic 280): Improvements to Reportable Segment Disclosures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improves reportable segment disclosure requirements, primarily through enhanced disclosures about significant segment expenses. The standard is effective for full year 2024 reporting, and for interim reporting beginning in 2025. The adoption of this ASU did not change the way the Company evaluates its reportable segments and, as a result, did not have a material impact on the Company’s segment-related disclosures.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2023-09, Income Taxes (Topic 740): Improvements to Income Tax Disclosures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2024-03, Income Statement—Reporting Comprehensive Income (Topic 220): Disaggregation of Income Statement Expenses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Principal Financial Officer required by Rule 13a-14 of the Securities Exchange Act of 1934 (the “Exchange Act”). See Exhibits 31.1 and 31.2. This Item 4 includes information concerning the controls and control evaluations referred to in those certifications.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of the Securities Exchange Act of 1934 (the “Exchange Act”), that are designed to ensure that information required to be disclosed in the reports filed or submitted under the Exchange Act, is recorded, processed, summarized, and reported within the time periods specified by the Commission’s rules and forms. Disclosure controls and procedures include controls and procedures designed to ensure that information required to be disclosed in our reports filed or submitted under the Exchange Act are properly recorded, processed, summarized and reported within the time periods required by the Commission’s rules and forms.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(principal executive officer and principal financial officer), of the effectiveness of the design and operation of these disclosure controls and procedures, as such term is defined in Exchange Act Rule 13a-15(e), as of March 31, 2025. Based on this evaluation, the Chief Executive Officer concluded that our disclosure controls and procedures were effective as of March 31, 2025, the end of the period covered by this Quarterly Report on Form 10-Q.</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first quarter of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aware of any pending or threatened legal proceeding against us that could have a material adverse effect on our business, operating results or financial condition. The medical device industry is characterized by frequent claims and litigation, including claims regarding patent and other intellectual property rights as well as improper hiring practices. As a result, we may be involved in various legal proceedings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Information regarding risk factors appears in Item 1A of our Annual Report on Form 10-K for the year ended December 31, 2024, which was filed with the SEC on March 19, 2025. There have been no material changes from the risk factors previously disclosed in the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 2025, the Company entered into a private placement transaction pursuant to a Securities Purchase Agreement (the “Purchase Agreement”) with certain institutional and accredited investors for aggregate gross proceeds of $5.0 million, before deducting fees to the placement agent and other expenses payable by the Company in connection with the Private Placement. For a more detailed description of the transaction reference is made to the Form 8-K filed by the Company with the Securities and Exchange Commission on February 26,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 Maximum</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 ) Total number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dollar value) of</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 Total number</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of publicly</w:t>
            </w:r>
          </w:p>
        </w:tc>
        <w:tc>
          <w:tcPr>
            <w:tcW w:w="1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20"/>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(b) Average 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announced plans</w:t>
            </w:r>
          </w:p>
        </w:tc>
        <w:tc>
          <w:tcPr>
            <w:tcW w:w="160" w:type="dxa"/>
            <w:vAlign w:val="bottom"/>
          </w:tcPr>
          <w:p>
            <w:pPr>
              <w:spacing w:after="0"/>
              <w:rPr>
                <w:sz w:val="19"/>
                <w:szCs w:val="19"/>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7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820" w:type="dxa"/>
            <w:vAlign w:val="bottom"/>
            <w:gridSpan w:val="2"/>
          </w:tcPr>
          <w:p>
            <w:pPr>
              <w:jc w:val="center"/>
              <w:ind w:right="320"/>
              <w:spacing w:after="0" w:line="276" w:lineRule="exact"/>
              <w:rPr>
                <w:sz w:val="20"/>
                <w:szCs w:val="20"/>
                <w:color w:val="auto"/>
              </w:rPr>
            </w:pPr>
            <w:r>
              <w:rPr>
                <w:rFonts w:ascii="Times New Roman" w:cs="Times New Roman" w:eastAsia="Times New Roman" w:hAnsi="Times New Roman"/>
                <w:sz w:val="18"/>
                <w:szCs w:val="18"/>
                <w:b w:val="1"/>
                <w:bCs w:val="1"/>
                <w:color w:val="auto"/>
                <w:w w:val="95"/>
              </w:rPr>
              <w:t xml:space="preserve">purchased </w:t>
            </w:r>
            <w:r>
              <w:rPr>
                <w:rFonts w:ascii="Times New Roman" w:cs="Times New Roman" w:eastAsia="Times New Roman" w:hAnsi="Times New Roman"/>
                <w:sz w:val="29"/>
                <w:szCs w:val="29"/>
                <w:b w:val="1"/>
                <w:bCs w:val="1"/>
                <w:color w:val="auto"/>
                <w:w w:val="95"/>
                <w:vertAlign w:val="superscript"/>
              </w:rPr>
              <w:t>(1)</w:t>
            </w:r>
          </w:p>
        </w:tc>
        <w:tc>
          <w:tcPr>
            <w:tcW w:w="1820" w:type="dxa"/>
            <w:vAlign w:val="bottom"/>
            <w:gridSpan w:val="3"/>
          </w:tcPr>
          <w:p>
            <w:pPr>
              <w:jc w:val="right"/>
              <w:ind w:right="420"/>
              <w:spacing w:after="0" w:line="276" w:lineRule="exact"/>
              <w:rPr>
                <w:sz w:val="20"/>
                <w:szCs w:val="20"/>
                <w:color w:val="auto"/>
              </w:rPr>
            </w:pPr>
            <w:r>
              <w:rPr>
                <w:rFonts w:ascii="Times New Roman" w:cs="Times New Roman" w:eastAsia="Times New Roman" w:hAnsi="Times New Roman"/>
                <w:sz w:val="18"/>
                <w:szCs w:val="18"/>
                <w:b w:val="1"/>
                <w:bCs w:val="1"/>
                <w:color w:val="auto"/>
                <w:w w:val="99"/>
              </w:rPr>
              <w:t xml:space="preserve">paid per share </w:t>
            </w:r>
            <w:r>
              <w:rPr>
                <w:rFonts w:ascii="Times New Roman" w:cs="Times New Roman" w:eastAsia="Times New Roman" w:hAnsi="Times New Roman"/>
                <w:sz w:val="29"/>
                <w:szCs w:val="29"/>
                <w:b w:val="1"/>
                <w:bCs w:val="1"/>
                <w:color w:val="auto"/>
                <w:w w:val="99"/>
                <w:vertAlign w:val="superscript"/>
              </w:rPr>
              <w:t>(1)</w:t>
            </w:r>
          </w:p>
        </w:tc>
        <w:tc>
          <w:tcPr>
            <w:tcW w:w="1600" w:type="dxa"/>
            <w:vAlign w:val="bottom"/>
            <w:gridSpan w:val="2"/>
          </w:tcPr>
          <w:p>
            <w:pPr>
              <w:jc w:val="center"/>
              <w:ind w:right="1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9"/>
                <w:szCs w:val="29"/>
                <w:b w:val="1"/>
                <w:bCs w:val="1"/>
                <w:color w:val="auto"/>
                <w:w w:val="95"/>
                <w:vertAlign w:val="superscript"/>
              </w:rPr>
              <w:t>(1)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9"/>
                <w:szCs w:val="29"/>
                <w:b w:val="1"/>
                <w:bCs w:val="1"/>
                <w:color w:val="auto"/>
                <w:w w:val="95"/>
                <w:vertAlign w:val="superscript"/>
              </w:rPr>
              <w:t>(1)</w:t>
            </w:r>
          </w:p>
        </w:tc>
      </w:tr>
      <w:tr>
        <w:trPr>
          <w:trHeight w:val="210"/>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01/01/25 – 01/31/25</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02/01/25 – 02/28/25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30"/>
        </w:trPr>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03/01/25 – 03/31/25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29,665</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413,736.72</w:t>
            </w:r>
          </w:p>
        </w:tc>
      </w:tr>
      <w:tr>
        <w:trPr>
          <w:trHeight w:val="209"/>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29,665</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413,736.72</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 announced that its Board of Directors authorized a share repurchase program that would allow the Company to repurchase up to $500,000 of the company’s outstanding common stock. The extent to which the company repurchases its shares, and the timing of such repurchases, will depend upon a variety of factors, including trading volume, market conditions, legal requirements, business conditions and other factors. The repurchase program may be discontinued at any time, and the program does not obligate the company to acquire any specific number of shares of its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ectPr>
          <w:pgSz w:w="11900" w:h="16838" w:orient="portrait"/>
          <w:cols w:equalWidth="0" w:num="1">
            <w:col w:w="11240"/>
          </w:cols>
          <w:pgMar w:left="320" w:top="684" w:right="33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65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herein from</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w:t>
            </w: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5280" w:type="dxa"/>
            <w:vAlign w:val="bottom"/>
            <w:gridSpan w:val="11"/>
          </w:tcPr>
          <w:p>
            <w:pPr>
              <w:ind w:left="18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4"/>
                <w:szCs w:val="14"/>
                <w:color w:val="auto"/>
              </w:rPr>
            </w:pPr>
          </w:p>
        </w:tc>
        <w:tc>
          <w:tcPr>
            <w:tcW w:w="4660" w:type="dxa"/>
            <w:vAlign w:val="bottom"/>
            <w:tcBorders>
              <w:top w:val="single" w:sz="8" w:color="auto"/>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Entity Acquisition Agreement between the Company and Tethon</w:t>
              </w:r>
            </w:hyperlink>
          </w:p>
        </w:tc>
        <w:tc>
          <w:tcPr>
            <w:tcW w:w="500" w:type="dxa"/>
            <w:vAlign w:val="bottom"/>
            <w:tcBorders>
              <w:top w:val="single" w:sz="8" w:color="auto"/>
            </w:tcBorders>
            <w:gridSpan w:val="3"/>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Corporation dated February 19, 2025</w:t>
              </w:r>
            </w:hyperlink>
          </w:p>
        </w:tc>
        <w:tc>
          <w:tcPr>
            <w:tcW w:w="26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1.1 Form 8-K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02/20/25</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0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48">
              <w:r>
                <w:rPr>
                  <w:rFonts w:ascii="Times New Roman" w:cs="Times New Roman" w:eastAsia="Times New Roman" w:hAnsi="Times New Roman"/>
                  <w:sz w:val="18"/>
                  <w:szCs w:val="18"/>
                  <w:color w:val="0000EE"/>
                  <w:w w:val="97"/>
                </w:rPr>
                <w:t>Form of Pre-Funded Warrant</w:t>
              </w:r>
            </w:hyperlink>
          </w:p>
        </w:tc>
        <w:tc>
          <w:tcPr>
            <w:tcW w:w="320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4.1, 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5280" w:type="dxa"/>
            <w:vAlign w:val="bottom"/>
            <w:gridSpan w:val="11"/>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Common Warrant</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4.2, 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5280" w:type="dxa"/>
            <w:vAlign w:val="bottom"/>
            <w:gridSpan w:val="11"/>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Placement Agent Warrant</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4.3, 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280" w:type="dxa"/>
            <w:vAlign w:val="bottom"/>
            <w:gridSpan w:val="11"/>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Securities Purchase Agreement</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10.1, Form 8-</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5280" w:type="dxa"/>
            <w:vAlign w:val="bottom"/>
            <w:gridSpan w:val="11"/>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Registration Rights Agreement</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10.2, Form 8-</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02/26/26</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4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Certificate of the Chief Executive Officer pursuant to Section 302 of</w:t>
            </w:r>
          </w:p>
        </w:tc>
        <w:tc>
          <w:tcPr>
            <w:tcW w:w="36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1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Certificate of the Principal Financial Officer pursuant to Section 906 of</w:t>
            </w:r>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0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60" w:hanging="1252"/>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Certifications of the Chief Executive Officer and Principal Accounting</w:t>
      </w: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5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0000EE"/>
              </w:rPr>
              <w:t>Officer pursuant to Section 906 of the Sarbanes-Oxley Act of 2002</w:t>
            </w:r>
          </w:p>
        </w:tc>
        <w:tc>
          <w:tcPr>
            <w:tcW w:w="50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w w:val="91"/>
              </w:rPr>
              <w:t>X</w:t>
            </w: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0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98" w:lineRule="exact"/>
        <w:rPr>
          <w:sz w:val="20"/>
          <w:szCs w:val="20"/>
          <w:color w:val="auto"/>
        </w:rPr>
      </w:pPr>
    </w:p>
    <w:p>
      <w:pPr>
        <w:ind w:left="1260" w:right="5020" w:hanging="1252"/>
        <w:spacing w:after="0" w:line="282"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SINTX Technologies,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21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Eric Olson</w:t>
            </w:r>
          </w:p>
        </w:tc>
      </w:tr>
      <w:tr>
        <w:trPr>
          <w:trHeight w:val="191"/>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16"/>
        </w:trPr>
        <w:tc>
          <w:tcPr>
            <w:tcW w:w="3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432"/>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240"/>
          </w:cols>
          <w:pgMar w:left="320" w:top="68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Olson, certify that:</w:t>
      </w:r>
    </w:p>
    <w:p>
      <w:pPr>
        <w:spacing w:after="0" w:line="225" w:lineRule="exact"/>
        <w:rPr>
          <w:sz w:val="20"/>
          <w:szCs w:val="20"/>
          <w:color w:val="auto"/>
        </w:rPr>
      </w:pPr>
    </w:p>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SINTX Technologies,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656"/>
        <w:spacing w:after="0" w:line="282" w:lineRule="auto"/>
        <w:tabs>
          <w:tab w:leader="none" w:pos="8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Olson,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SINTX Technologies,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656"/>
        <w:spacing w:after="0" w:line="282"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906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SINTX Technologies, Inc., a Delaware corporation (the “Company”), does hereby certify, to such officer’s knowledge, that: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2"/>
    </w:lvl>
  </w:abstractNum>
  <w:abstractNum w:abstractNumId="4">
    <w:nsid w:val="5BD062C2"/>
    <w:multiLevelType w:val="hybridMultilevel"/>
    <w:lvl w:ilvl="0">
      <w:lvlJc w:val="left"/>
      <w:lvlText w:val="%1"/>
      <w:numFmt w:val="decimal"/>
      <w:start w:val="104"/>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47" Type="http://schemas.openxmlformats.org/officeDocument/2006/relationships/hyperlink" Target="https://www.sec.gov/Archives/edgar/data/1269026/000149315225007635/ex1-1.htm" TargetMode="External"/><Relationship Id="rId48" Type="http://schemas.openxmlformats.org/officeDocument/2006/relationships/hyperlink" Target="https://www.sec.gov/Archives/edgar/data/1269026/000149315225008277/ex4-1.htm" TargetMode="External"/><Relationship Id="rId49" Type="http://schemas.openxmlformats.org/officeDocument/2006/relationships/hyperlink" Target="https://www.sec.gov/Archives/edgar/data/1269026/000149315225008277/ex4-2.htm" TargetMode="External"/><Relationship Id="rId50" Type="http://schemas.openxmlformats.org/officeDocument/2006/relationships/hyperlink" Target="https://www.sec.gov/Archives/edgar/data/1269026/000149315225008277/ex4-3.htm" TargetMode="External"/><Relationship Id="rId51" Type="http://schemas.openxmlformats.org/officeDocument/2006/relationships/hyperlink" Target="https://www.sec.gov/Archives/edgar/data/1269026/000149315225008277/ex10-1.htm" TargetMode="External"/><Relationship Id="rId52" Type="http://schemas.openxmlformats.org/officeDocument/2006/relationships/hyperlink" Target="https://www.sec.gov/Archives/edgar/data/1269026/000149315225008277/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2025-05-15T06:06:19Z</dcterms:created>
  <dcterms:modified xsi:type="dcterms:W3CDTF">2025-05-15T06:06:19Z</dcterms:modified>
</cp:coreProperties>
</file>