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900"/>
        <w:spacing w:after="0" w:line="279" w:lineRule="auto"/>
        <w:rPr>
          <w:sz w:val="20"/>
          <w:szCs w:val="20"/>
          <w:color w:val="auto"/>
        </w:rPr>
      </w:pPr>
      <w:r>
        <w:rPr>
          <w:rFonts w:ascii="Times New Roman" w:cs="Times New Roman" w:eastAsia="Times New Roman" w:hAnsi="Times New Roman"/>
          <w:sz w:val="38"/>
          <w:szCs w:val="38"/>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3290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27940"/>
                    </a:xfrm>
                    <a:prstGeom prst="rect">
                      <a:avLst/>
                    </a:prstGeom>
                    <a:noFill/>
                  </pic:spPr>
                </pic:pic>
              </a:graphicData>
            </a:graphic>
          </wp:anchor>
        </w:drawing>
        <w:drawing>
          <wp:anchor simplePos="0" relativeHeight="251657728" behindDoc="1" locked="0" layoutInCell="0" allowOverlap="1">
            <wp:simplePos x="0" y="0"/>
            <wp:positionH relativeFrom="page">
              <wp:posOffset>410210</wp:posOffset>
            </wp:positionH>
            <wp:positionV relativeFrom="page">
              <wp:posOffset>631190</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t>SECURITIES AND EXCHANGE COMMISSION Washington, D.C. 20549</w:t>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color w:val="auto"/>
        </w:rPr>
        <w:t>SCHEDULE 13G</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23"/>
          <w:szCs w:val="23"/>
          <w:color w:val="auto"/>
        </w:rPr>
        <w:t>UNDER THE SECURITIES EXCHANGE ACT OF 1934</w:t>
      </w:r>
    </w:p>
    <w:p>
      <w:pPr>
        <w:spacing w:after="0" w:line="106"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SINTX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(Name of Issuer)</w:t>
      </w:r>
    </w:p>
    <w:p>
      <w:pPr>
        <w:spacing w:after="0" w:line="200" w:lineRule="exact"/>
        <w:rPr>
          <w:sz w:val="24"/>
          <w:szCs w:val="24"/>
          <w:color w:val="auto"/>
        </w:rPr>
      </w:pPr>
    </w:p>
    <w:p>
      <w:pPr>
        <w:spacing w:after="0" w:line="314"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9"/>
          <w:szCs w:val="19"/>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9"/>
          <w:szCs w:val="19"/>
          <w:b w:val="1"/>
          <w:bCs w:val="1"/>
          <w:color w:val="auto"/>
        </w:rPr>
        <w:t>(Title of Class of Securities)</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829392703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(CUSIP Number)</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12/08/2025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auto"/>
        </w:rPr>
        <w:t>(Date of Event Which Requires Filing of this Statement)</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Check the appropriate box to designate the rule pursuant to which this Schedule is filed:</w:t>
      </w:r>
    </w:p>
    <w:p>
      <w:pPr>
        <w:spacing w:after="0" w:line="5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85725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161925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3"/>
          <w:szCs w:val="23"/>
          <w:color w:val="auto"/>
        </w:rPr>
        <w:t>SCHEDULE 13G</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CUSIP No. </w:t>
      </w:r>
      <w:r>
        <w:rPr>
          <w:rFonts w:ascii="Times New Roman" w:cs="Times New Roman" w:eastAsia="Times New Roman" w:hAnsi="Times New Roman"/>
          <w:sz w:val="16"/>
          <w:szCs w:val="16"/>
          <w:color w:val="auto"/>
        </w:rPr>
        <w:t>829392703</w:t>
      </w:r>
    </w:p>
    <w:p>
      <w:pPr>
        <w:spacing w:after="0" w:line="200" w:lineRule="exact"/>
        <w:rPr>
          <w:sz w:val="24"/>
          <w:szCs w:val="24"/>
          <w:color w:val="auto"/>
        </w:rPr>
      </w:pPr>
    </w:p>
    <w:p>
      <w:pPr>
        <w:spacing w:after="0" w:line="34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Names of Reporting Persons</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Gregg Richard Honigblum</w:t>
      </w:r>
    </w:p>
    <w:p>
      <w:pPr>
        <w:spacing w:after="0" w:line="3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51" w:lineRule="exact"/>
        <w:rPr>
          <w:sz w:val="24"/>
          <w:szCs w:val="24"/>
          <w:color w:val="auto"/>
        </w:rPr>
      </w:pPr>
    </w:p>
    <w:p>
      <w:pPr>
        <w:ind w:left="980" w:hanging="978"/>
        <w:spacing w:after="0"/>
        <w:tabs>
          <w:tab w:leader="none" w:pos="980" w:val="left"/>
        </w:tabs>
        <w:numPr>
          <w:ilvl w:val="0"/>
          <w:numId w:val="1"/>
        </w:numPr>
        <w:rPr>
          <w:rFonts w:ascii="Times New Roman" w:cs="Times New Roman" w:eastAsia="Times New Roman" w:hAnsi="Times New Roman"/>
          <w:sz w:val="38"/>
          <w:szCs w:val="38"/>
          <w:color w:val="auto"/>
          <w:vertAlign w:val="superscript"/>
        </w:rPr>
      </w:pPr>
      <w:r>
        <w:rPr>
          <w:sz w:val="1"/>
          <w:szCs w:val="1"/>
          <w:color w:val="auto"/>
        </w:rPr>
        <w:drawing>
          <wp:inline distT="0" distB="0" distL="0" distR="0">
            <wp:extent cx="114300" cy="114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w:t>
      </w:r>
    </w:p>
    <w:p>
      <w:pPr>
        <w:ind w:left="980"/>
        <w:spacing w:after="0"/>
        <w:rPr>
          <w:rFonts w:ascii="Times New Roman" w:cs="Times New Roman" w:eastAsia="Times New Roman" w:hAnsi="Times New Roman"/>
          <w:sz w:val="38"/>
          <w:szCs w:val="38"/>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4300" cy="11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w:t>
      </w:r>
    </w:p>
    <w:p>
      <w:pPr>
        <w:spacing w:after="0" w:line="42" w:lineRule="exact"/>
        <w:rPr>
          <w:sz w:val="24"/>
          <w:szCs w:val="24"/>
          <w:color w:val="auto"/>
        </w:rPr>
      </w:pPr>
    </w:p>
    <w:p>
      <w:pPr>
        <w:ind w:left="980" w:hanging="978"/>
        <w:spacing w:after="0"/>
        <w:tabs>
          <w:tab w:leader="none" w:pos="9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 Use Only</w:t>
      </w:r>
    </w:p>
    <w:p>
      <w:pPr>
        <w:spacing w:after="0" w:line="23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Citizenship or Place of Organization</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UNITED STATES</w:t>
      </w:r>
    </w:p>
    <w:p>
      <w:pPr>
        <w:sectPr>
          <w:pgSz w:w="11900" w:h="16840" w:orient="portrait"/>
          <w:cols w:equalWidth="0" w:num="1">
            <w:col w:w="9760"/>
          </w:cols>
          <w:pgMar w:left="700" w:top="1132" w:right="1440" w:bottom="1098"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1"/>
        </w:trPr>
        <w:tc>
          <w:tcPr>
            <w:tcW w:w="98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Sole Voting Power</w:t>
            </w: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201,067.00</w:t>
            </w:r>
          </w:p>
        </w:tc>
        <w:tc>
          <w:tcPr>
            <w:tcW w:w="0" w:type="dxa"/>
            <w:vAlign w:val="bottom"/>
          </w:tcPr>
          <w:p>
            <w:pPr>
              <w:spacing w:after="0"/>
              <w:rPr>
                <w:sz w:val="1"/>
                <w:szCs w:val="1"/>
                <w:color w:val="auto"/>
              </w:rPr>
            </w:pPr>
          </w:p>
        </w:tc>
      </w:tr>
      <w:tr>
        <w:trPr>
          <w:trHeight w:val="228"/>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Number of</w:t>
            </w:r>
          </w:p>
        </w:tc>
        <w:tc>
          <w:tcPr>
            <w:tcW w:w="20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Shared Voting Power</w:t>
            </w:r>
          </w:p>
        </w:tc>
        <w:tc>
          <w:tcPr>
            <w:tcW w:w="0" w:type="dxa"/>
            <w:vAlign w:val="bottom"/>
          </w:tcPr>
          <w:p>
            <w:pPr>
              <w:spacing w:after="0"/>
              <w:rPr>
                <w:sz w:val="1"/>
                <w:szCs w:val="1"/>
                <w:color w:val="auto"/>
              </w:rPr>
            </w:pPr>
          </w:p>
        </w:tc>
      </w:tr>
      <w:tr>
        <w:trPr>
          <w:trHeight w:val="119"/>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Shares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Beneficially</w:t>
            </w:r>
          </w:p>
        </w:tc>
        <w:tc>
          <w:tcPr>
            <w:tcW w:w="200" w:type="dxa"/>
            <w:vAlign w:val="bottom"/>
            <w:vMerge w:val="continue"/>
          </w:tcPr>
          <w:p>
            <w:pPr>
              <w:spacing w:after="0"/>
              <w:rPr>
                <w:sz w:val="19"/>
                <w:szCs w:val="1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0.00</w:t>
            </w:r>
          </w:p>
        </w:tc>
        <w:tc>
          <w:tcPr>
            <w:tcW w:w="0" w:type="dxa"/>
            <w:vAlign w:val="bottom"/>
          </w:tcPr>
          <w:p>
            <w:pPr>
              <w:spacing w:after="0"/>
              <w:rPr>
                <w:sz w:val="1"/>
                <w:szCs w:val="1"/>
                <w:color w:val="auto"/>
              </w:rPr>
            </w:pPr>
          </w:p>
        </w:tc>
      </w:tr>
      <w:tr>
        <w:trPr>
          <w:trHeight w:val="119"/>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Owned by</w:t>
            </w:r>
          </w:p>
        </w:tc>
        <w:tc>
          <w:tcPr>
            <w:tcW w:w="2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w w:val="99"/>
              </w:rPr>
              <w:t>Sole Dispositive Power</w:t>
            </w: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Each</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Reporting</w:t>
            </w:r>
          </w:p>
        </w:tc>
        <w:tc>
          <w:tcPr>
            <w:tcW w:w="200" w:type="dxa"/>
            <w:vAlign w:val="bottom"/>
            <w:vMerge w:val="continue"/>
          </w:tcPr>
          <w:p>
            <w:pPr>
              <w:spacing w:after="0"/>
              <w:rPr>
                <w:sz w:val="14"/>
                <w:szCs w:val="14"/>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201,067.00</w:t>
            </w: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Person</w:t>
            </w:r>
          </w:p>
        </w:tc>
        <w:tc>
          <w:tcPr>
            <w:tcW w:w="2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Shared Dispositive</w:t>
            </w:r>
          </w:p>
        </w:tc>
        <w:tc>
          <w:tcPr>
            <w:tcW w:w="0" w:type="dxa"/>
            <w:vAlign w:val="bottom"/>
          </w:tcPr>
          <w:p>
            <w:pPr>
              <w:spacing w:after="0"/>
              <w:rPr>
                <w:sz w:val="1"/>
                <w:szCs w:val="1"/>
                <w:color w:val="auto"/>
              </w:rPr>
            </w:pPr>
          </w:p>
        </w:tc>
      </w:tr>
      <w:tr>
        <w:trPr>
          <w:trHeight w:val="193"/>
        </w:trPr>
        <w:tc>
          <w:tcPr>
            <w:tcW w:w="98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With:</w:t>
            </w:r>
          </w:p>
        </w:tc>
        <w:tc>
          <w:tcPr>
            <w:tcW w:w="2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Power</w:t>
            </w:r>
          </w:p>
        </w:tc>
        <w:tc>
          <w:tcPr>
            <w:tcW w:w="0" w:type="dxa"/>
            <w:vAlign w:val="bottom"/>
          </w:tcPr>
          <w:p>
            <w:pPr>
              <w:spacing w:after="0"/>
              <w:rPr>
                <w:sz w:val="1"/>
                <w:szCs w:val="1"/>
                <w:color w:val="auto"/>
              </w:rPr>
            </w:pPr>
          </w:p>
        </w:tc>
      </w:tr>
      <w:tr>
        <w:trPr>
          <w:trHeight w:val="348"/>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Aggregate Amount Beneficially Owned by Each Reporting Person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201,067.00</w:t>
      </w:r>
    </w:p>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Check box if the aggregate amount in row (9) excludes certain shares (See Instructions)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15875</wp:posOffset>
            </wp:positionV>
            <wp:extent cx="11430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Percent of class represented by amount in row (9)</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11</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5.0 %</w:t>
      </w:r>
    </w:p>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Type of Reporting Person (See Instructions)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12</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IN</w:t>
      </w:r>
    </w:p>
    <w:p>
      <w:pPr>
        <w:spacing w:after="0" w:line="25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19"/>
          <w:szCs w:val="19"/>
          <w:color w:val="auto"/>
        </w:rPr>
        <w:t>The percentage ownership is based on an aggregate 4,019,624 shares of Common Stock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Issuer outstanding as of December 8, 2025. The reporting person's ownership consists of (i) 201,067 shares of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SCHEDULE 13G</w:t>
      </w: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Item 1.</w:t>
      </w:r>
    </w:p>
    <w:p>
      <w:pPr>
        <w:spacing w:after="0" w:line="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Name of issuer: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SINTX Technologies, Inc.</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Address of issuer's principal executive offices: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(b)</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1885 West 2100 South, Salt Lake City, UT, 84119</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Item 2.</w:t>
      </w:r>
    </w:p>
    <w:p>
      <w:pPr>
        <w:sectPr>
          <w:pgSz w:w="11900" w:h="16840" w:orient="portrait"/>
          <w:cols w:equalWidth="0" w:num="1">
            <w:col w:w="10380"/>
          </w:cols>
          <w:pgMar w:left="660" w:top="604" w:right="860" w:bottom="157" w:gutter="0" w:footer="0" w:header="0"/>
        </w:sectPr>
      </w:pP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w:t>
      </w: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person filing: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Gregg Richard Honigblum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or principal business office or, if none, residence: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1885 W 2100 S, Salt Lake City, UT 84119</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Citizenship: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USA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of class of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Common Stock, par value $0.01 per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CUSIP No.:</w:t>
      </w:r>
    </w:p>
    <w:p>
      <w:pPr>
        <w:spacing w:after="0" w:line="260" w:lineRule="exact"/>
        <w:rPr>
          <w:sz w:val="20"/>
          <w:szCs w:val="20"/>
          <w:color w:val="auto"/>
        </w:rPr>
      </w:pPr>
    </w:p>
    <w:p>
      <w:pPr>
        <w:sectPr>
          <w:pgSz w:w="11900" w:h="16840" w:orient="portrait"/>
          <w:cols w:equalWidth="0" w:num="2">
            <w:col w:w="260" w:space="640"/>
            <w:col w:w="9480"/>
          </w:cols>
          <w:pgMar w:left="660" w:top="604" w:right="860" w:bottom="157" w:gutter="0" w:footer="0" w:header="0"/>
          <w:type w:val="continuous"/>
        </w:sectPr>
      </w:pPr>
    </w:p>
    <w:p>
      <w:pPr>
        <w:ind w:left="900"/>
        <w:spacing w:after="0"/>
        <w:rPr>
          <w:sz w:val="20"/>
          <w:szCs w:val="20"/>
          <w:color w:val="auto"/>
        </w:rPr>
      </w:pPr>
      <w:r>
        <w:rPr>
          <w:rFonts w:ascii="Times New Roman" w:cs="Times New Roman" w:eastAsia="Times New Roman" w:hAnsi="Times New Roman"/>
          <w:sz w:val="19"/>
          <w:szCs w:val="19"/>
          <w:color w:val="auto"/>
        </w:rPr>
        <w:t>829392703</w:t>
      </w:r>
    </w:p>
    <w:p>
      <w:pPr>
        <w:spacing w:after="0" w:line="3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9"/>
          <w:szCs w:val="19"/>
          <w:color w:val="auto"/>
        </w:rPr>
        <w:t>Item 3.</w:t>
      </w:r>
      <w:r>
        <w:rPr>
          <w:sz w:val="20"/>
          <w:szCs w:val="20"/>
          <w:color w:val="auto"/>
        </w:rPr>
        <w:tab/>
      </w:r>
      <w:r>
        <w:rPr>
          <w:rFonts w:ascii="Times New Roman" w:cs="Times New Roman" w:eastAsia="Times New Roman" w:hAnsi="Times New Roman"/>
          <w:sz w:val="19"/>
          <w:szCs w:val="19"/>
          <w:color w:val="auto"/>
        </w:rPr>
        <w:t>If this statement is filed pursuant to Â§Â§ 240.13d-1(b) or 240.13d-2(b) or (c), check whether the person filing is a:</w:t>
      </w:r>
    </w:p>
    <w:p>
      <w:pPr>
        <w:spacing w:after="0" w:line="58" w:lineRule="exact"/>
        <w:rPr>
          <w:sz w:val="20"/>
          <w:szCs w:val="20"/>
          <w:color w:val="auto"/>
        </w:rPr>
      </w:pPr>
    </w:p>
    <w:p>
      <w:pPr>
        <w:ind w:left="900" w:hanging="858"/>
        <w:spacing w:after="0"/>
        <w:tabs>
          <w:tab w:leader="none" w:pos="9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Broker or dealer registered under section 15 of the Act (15 U.S.C. 78o);</w:t>
      </w:r>
    </w:p>
    <w:p>
      <w:pPr>
        <w:spacing w:after="0" w:line="54" w:lineRule="exact"/>
        <w:rPr>
          <w:rFonts w:ascii="Times New Roman" w:cs="Times New Roman" w:eastAsia="Times New Roman" w:hAnsi="Times New Roman"/>
          <w:sz w:val="19"/>
          <w:szCs w:val="19"/>
          <w:color w:val="auto"/>
        </w:rPr>
      </w:pPr>
    </w:p>
    <w:p>
      <w:pPr>
        <w:ind w:left="900" w:hanging="858"/>
        <w:spacing w:after="0"/>
        <w:tabs>
          <w:tab w:leader="none" w:pos="9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Bank as defined in section 3(a)(6) of the Act (15 U.S.C. 78c);</w:t>
      </w:r>
    </w:p>
    <w:p>
      <w:pPr>
        <w:spacing w:after="0" w:line="54" w:lineRule="exact"/>
        <w:rPr>
          <w:rFonts w:ascii="Times New Roman" w:cs="Times New Roman" w:eastAsia="Times New Roman" w:hAnsi="Times New Roman"/>
          <w:sz w:val="19"/>
          <w:szCs w:val="19"/>
          <w:color w:val="auto"/>
        </w:rPr>
      </w:pPr>
    </w:p>
    <w:p>
      <w:pPr>
        <w:ind w:left="900" w:hanging="858"/>
        <w:spacing w:after="0"/>
        <w:tabs>
          <w:tab w:leader="none" w:pos="9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Insurance company as defined in section 3(a)(19) of the Act (15 U.S.C. 78c);</w:t>
      </w:r>
    </w:p>
    <w:p>
      <w:pPr>
        <w:spacing w:after="0" w:line="54" w:lineRule="exact"/>
        <w:rPr>
          <w:rFonts w:ascii="Times New Roman" w:cs="Times New Roman" w:eastAsia="Times New Roman" w:hAnsi="Times New Roman"/>
          <w:sz w:val="19"/>
          <w:szCs w:val="19"/>
          <w:color w:val="auto"/>
        </w:rPr>
      </w:pPr>
    </w:p>
    <w:p>
      <w:pPr>
        <w:ind w:left="900" w:hanging="858"/>
        <w:spacing w:after="0"/>
        <w:tabs>
          <w:tab w:leader="none" w:pos="9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Investment company registered under section 8 of the Investment Company Act of 1940 (15 U.S.C. 80a-8);</w:t>
      </w:r>
    </w:p>
    <w:p>
      <w:pPr>
        <w:spacing w:after="0" w:line="54" w:lineRule="exact"/>
        <w:rPr>
          <w:rFonts w:ascii="Times New Roman" w:cs="Times New Roman" w:eastAsia="Times New Roman" w:hAnsi="Times New Roman"/>
          <w:sz w:val="19"/>
          <w:szCs w:val="19"/>
          <w:color w:val="auto"/>
        </w:rPr>
      </w:pPr>
    </w:p>
    <w:p>
      <w:pPr>
        <w:ind w:left="900" w:hanging="858"/>
        <w:spacing w:after="0"/>
        <w:tabs>
          <w:tab w:leader="none" w:pos="9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An investment adviser in accordance with Â§ 240.13d-1(b)(1)(ii)(E);</w:t>
      </w:r>
    </w:p>
    <w:p>
      <w:pPr>
        <w:spacing w:after="0" w:line="54" w:lineRule="exact"/>
        <w:rPr>
          <w:rFonts w:ascii="Times New Roman" w:cs="Times New Roman" w:eastAsia="Times New Roman" w:hAnsi="Times New Roman"/>
          <w:sz w:val="19"/>
          <w:szCs w:val="19"/>
          <w:color w:val="auto"/>
        </w:rPr>
      </w:pPr>
    </w:p>
    <w:p>
      <w:pPr>
        <w:ind w:left="900" w:hanging="858"/>
        <w:spacing w:after="0"/>
        <w:tabs>
          <w:tab w:leader="none" w:pos="9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An employee benefit plan or endowment fund in accordance with Â§ 240.13d-1(b)(1)(ii)(F);</w:t>
      </w:r>
    </w:p>
    <w:p>
      <w:pPr>
        <w:sectPr>
          <w:pgSz w:w="11900" w:h="16840" w:orient="portrait"/>
          <w:cols w:equalWidth="0" w:num="1">
            <w:col w:w="10380"/>
          </w:cols>
          <w:pgMar w:left="660" w:top="604" w:right="860" w:bottom="157"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6.</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7.</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8.</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10.</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Times New Roman" w:cs="Times New Roman" w:eastAsia="Times New Roman" w:hAnsi="Times New Roman"/>
          <w:sz w:val="19"/>
          <w:szCs w:val="19"/>
          <w:color w:val="auto"/>
        </w:rPr>
        <w:t>A parent holding company or control person in accordance with Â§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1430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1430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8" w:lineRule="exact"/>
        <w:rPr>
          <w:sz w:val="20"/>
          <w:szCs w:val="20"/>
          <w:color w:val="auto"/>
        </w:rPr>
      </w:pPr>
    </w:p>
    <w:p>
      <w:pPr>
        <w:ind w:right="260"/>
        <w:spacing w:after="0" w:line="275" w:lineRule="auto"/>
        <w:rPr>
          <w:sz w:val="20"/>
          <w:szCs w:val="20"/>
          <w:color w:val="auto"/>
        </w:rPr>
      </w:pPr>
      <w:r>
        <w:rPr>
          <w:sz w:val="1"/>
          <w:szCs w:val="1"/>
          <w:color w:val="auto"/>
        </w:rPr>
        <w:drawing>
          <wp:inline distT="0" distB="0" distL="0" distR="0">
            <wp:extent cx="114300" cy="114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church plan that is excluded from the definition of an investment company under section 3(c)(14) of the Investment Company Act of 1940 (15 U.S.C. 80a-3);</w:t>
      </w:r>
    </w:p>
    <w:p>
      <w:pPr>
        <w:spacing w:after="0" w:line="1" w:lineRule="exact"/>
        <w:rPr>
          <w:sz w:val="20"/>
          <w:szCs w:val="20"/>
          <w:color w:val="auto"/>
        </w:rPr>
      </w:pPr>
    </w:p>
    <w:p>
      <w:pPr>
        <w:ind w:right="420"/>
        <w:spacing w:after="0" w:line="261" w:lineRule="auto"/>
        <w:rPr>
          <w:sz w:val="20"/>
          <w:szCs w:val="20"/>
          <w:color w:val="auto"/>
        </w:rPr>
      </w:pPr>
      <w:r>
        <w:rPr>
          <w:sz w:val="1"/>
          <w:szCs w:val="1"/>
          <w:color w:val="auto"/>
        </w:rPr>
        <w:drawing>
          <wp:inline distT="0" distB="0" distL="0" distR="0">
            <wp:extent cx="114300" cy="114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non-U.S. institution in accordance with Â§ 240.13d-1(b)(1)(ii)(J). If filing as a non-U.S. institution in accordance with Â§ 240.13d-1(b)(1)(ii)(J),</w:t>
      </w:r>
    </w:p>
    <w:p>
      <w:pPr>
        <w:ind w:left="340"/>
        <w:spacing w:after="0"/>
        <w:rPr>
          <w:sz w:val="20"/>
          <w:szCs w:val="20"/>
          <w:color w:val="auto"/>
        </w:rPr>
      </w:pPr>
      <w:r>
        <w:rPr>
          <w:rFonts w:ascii="Times New Roman" w:cs="Times New Roman" w:eastAsia="Times New Roman" w:hAnsi="Times New Roman"/>
          <w:sz w:val="19"/>
          <w:szCs w:val="19"/>
          <w:color w:val="auto"/>
        </w:rPr>
        <w:t>please specify the type of institution:</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1430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Ownership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Amount beneficially owned: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201,067</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Percent of class:</w:t>
      </w:r>
    </w:p>
    <w:p>
      <w:pPr>
        <w:spacing w:after="0" w:line="238" w:lineRule="exact"/>
        <w:rPr>
          <w:sz w:val="20"/>
          <w:szCs w:val="20"/>
          <w:color w:val="auto"/>
        </w:rPr>
      </w:pPr>
    </w:p>
    <w:p>
      <w:pPr>
        <w:ind w:right="400" w:firstLine="6"/>
        <w:spacing w:after="0" w:line="276" w:lineRule="auto"/>
        <w:tabs>
          <w:tab w:leader="none" w:pos="14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percentage ownership is based on an aggregate 4,019,624 shares of Common Stock of the Issuer outstanding as of December 8, 2025. The reporting person's ownership consists of (i) 201,067 shares of common stock. %</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Number of shares as to which the person has:</w:t>
      </w:r>
    </w:p>
    <w:p>
      <w:pPr>
        <w:spacing w:after="0" w:line="5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Sole power to vote or to direct the vote: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201,067</w:t>
      </w:r>
    </w:p>
    <w:p>
      <w:pPr>
        <w:spacing w:after="0" w:line="286" w:lineRule="exact"/>
        <w:rPr>
          <w:sz w:val="20"/>
          <w:szCs w:val="20"/>
          <w:color w:val="auto"/>
        </w:rPr>
      </w:pPr>
    </w:p>
    <w:p>
      <w:pPr>
        <w:ind w:left="280" w:hanging="274"/>
        <w:spacing w:after="0"/>
        <w:tabs>
          <w:tab w:leader="none" w:pos="2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power to vote or to direct the vote:</w:t>
      </w:r>
    </w:p>
    <w:p>
      <w:pPr>
        <w:spacing w:after="0" w:line="2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85" w:lineRule="exact"/>
        <w:rPr>
          <w:rFonts w:ascii="Times New Roman" w:cs="Times New Roman" w:eastAsia="Times New Roman" w:hAnsi="Times New Roman"/>
          <w:sz w:val="19"/>
          <w:szCs w:val="19"/>
          <w:color w:val="auto"/>
        </w:rPr>
      </w:pPr>
    </w:p>
    <w:p>
      <w:pPr>
        <w:ind w:right="5300" w:firstLine="6"/>
        <w:spacing w:after="0" w:line="527" w:lineRule="auto"/>
        <w:tabs>
          <w:tab w:leader="none" w:pos="33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 power to dispose or to direct the disposition of: 201,067</w:t>
      </w:r>
    </w:p>
    <w:p>
      <w:pPr>
        <w:ind w:left="340" w:hanging="334"/>
        <w:spacing w:after="0"/>
        <w:tabs>
          <w:tab w:leader="none" w:pos="3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power to dispose or to direct the disposition of:</w:t>
      </w:r>
    </w:p>
    <w:p>
      <w:pPr>
        <w:spacing w:after="0" w:line="2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8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Ownership of 5 Percent or Less of a Class.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Ownership of more than 5 Percent on Behalf of Another Person.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58"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9"/>
          <w:szCs w:val="19"/>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Identification and Classification of Members of the Group.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Dissolution of Group.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Certifications:</w:t>
      </w:r>
    </w:p>
    <w:p>
      <w:pPr>
        <w:spacing w:after="0" w:line="58" w:lineRule="exact"/>
        <w:rPr>
          <w:sz w:val="20"/>
          <w:szCs w:val="20"/>
          <w:color w:val="auto"/>
        </w:rPr>
      </w:pPr>
    </w:p>
    <w:p>
      <w:pPr>
        <w:sectPr>
          <w:pgSz w:w="11900" w:h="16840" w:orient="portrait"/>
          <w:cols w:equalWidth="0" w:num="2">
            <w:col w:w="640" w:space="220"/>
            <w:col w:w="9660"/>
          </w:cols>
          <w:pgMar w:left="700" w:top="568" w:right="680" w:bottom="186" w:gutter="0" w:footer="0" w:header="0"/>
        </w:sectPr>
      </w:pPr>
    </w:p>
    <w:p>
      <w:pPr>
        <w:ind w:left="860"/>
        <w:spacing w:after="0" w:line="262"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SIGNATURE</w:t>
      </w:r>
    </w:p>
    <w:p>
      <w:pPr>
        <w:spacing w:after="0" w:line="58" w:lineRule="exact"/>
        <w:rPr>
          <w:sz w:val="20"/>
          <w:szCs w:val="20"/>
          <w:color w:val="auto"/>
        </w:rPr>
      </w:pPr>
    </w:p>
    <w:p>
      <w:pPr>
        <w:ind w:left="1340" w:right="20"/>
        <w:spacing w:after="0" w:line="286" w:lineRule="auto"/>
        <w:rPr>
          <w:sz w:val="20"/>
          <w:szCs w:val="20"/>
          <w:color w:val="auto"/>
        </w:rPr>
      </w:pPr>
      <w:r>
        <w:rPr>
          <w:rFonts w:ascii="Times New Roman" w:cs="Times New Roman" w:eastAsia="Times New Roman" w:hAnsi="Times New Roman"/>
          <w:sz w:val="19"/>
          <w:szCs w:val="19"/>
          <w:color w:val="auto"/>
        </w:rPr>
        <w:t>After reasonable inquiry and to the best of my knowledge and belief, I certify that the information set forth in this statement is true, complete and correct.</w:t>
      </w:r>
    </w:p>
    <w:p>
      <w:pPr>
        <w:spacing w:after="0" w:line="27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9"/>
          <w:szCs w:val="19"/>
          <w:color w:val="auto"/>
        </w:rPr>
        <w:t>Gregg Richard Honigblum</w:t>
      </w:r>
    </w:p>
    <w:p>
      <w:pPr>
        <w:spacing w:after="0" w:line="154" w:lineRule="exact"/>
        <w:rPr>
          <w:sz w:val="20"/>
          <w:szCs w:val="20"/>
          <w:color w:val="auto"/>
        </w:rPr>
      </w:pPr>
    </w:p>
    <w:p>
      <w:pPr>
        <w:ind w:left="3380"/>
        <w:spacing w:after="0"/>
        <w:tabs>
          <w:tab w:leader="none" w:pos="4320" w:val="left"/>
        </w:tabs>
        <w:rPr>
          <w:sz w:val="20"/>
          <w:szCs w:val="20"/>
          <w:color w:val="auto"/>
        </w:rPr>
      </w:pPr>
      <w:r>
        <w:rPr>
          <w:rFonts w:ascii="Times New Roman" w:cs="Times New Roman" w:eastAsia="Times New Roman" w:hAnsi="Times New Roman"/>
          <w:sz w:val="19"/>
          <w:szCs w:val="19"/>
          <w:color w:val="auto"/>
        </w:rPr>
        <w:t>Signature:</w:t>
        <w:tab/>
        <w:t>/s/Gregg Richard Honigblum</w:t>
      </w:r>
    </w:p>
    <w:p>
      <w:pPr>
        <w:spacing w:after="0" w:line="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38"/>
          <w:szCs w:val="38"/>
          <w:color w:val="auto"/>
          <w:vertAlign w:val="superscript"/>
        </w:rPr>
        <w:t>Name/Title:</w:t>
      </w:r>
      <w:r>
        <w:rPr>
          <w:rFonts w:ascii="Times New Roman" w:cs="Times New Roman" w:eastAsia="Times New Roman" w:hAnsi="Times New Roman"/>
          <w:sz w:val="19"/>
          <w:szCs w:val="19"/>
          <w:color w:val="auto"/>
        </w:rPr>
        <w:t xml:space="preserve"> Gregg Richard Honigblum</w:t>
      </w:r>
    </w:p>
    <w:p>
      <w:pPr>
        <w:ind w:left="3380"/>
        <w:spacing w:after="0"/>
        <w:tabs>
          <w:tab w:leader="none" w:pos="432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12/09/2025</w:t>
      </w:r>
    </w:p>
    <w:sectPr>
      <w:pgSz w:w="11900" w:h="16840" w:orient="portrait"/>
      <w:cols w:equalWidth="0" w:num="1">
        <w:col w:w="10520"/>
      </w:cols>
      <w:pgMar w:left="700" w:top="568" w:right="680" w:bottom="1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2025-12-09T08:08:57Z</dcterms:created>
  <dcterms:modified xsi:type="dcterms:W3CDTF">2025-12-09T08:08:57Z</dcterms:modified>
</cp:coreProperties>
</file>