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22,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SINTX Technologies,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8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001-33624</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2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84-1375299</w:t>
            </w:r>
          </w:p>
        </w:tc>
      </w:tr>
      <w:tr>
        <w:trPr>
          <w:trHeight w:val="191"/>
        </w:trPr>
        <w:tc>
          <w:tcPr>
            <w:tcW w:w="2960" w:type="dxa"/>
            <w:vAlign w:val="bottom"/>
            <w:tcBorders>
              <w:top w:val="single" w:sz="8" w:color="auto"/>
            </w:tcBorders>
          </w:tcPr>
          <w:p>
            <w:pPr>
              <w:jc w:val="center"/>
              <w:ind w:left="570"/>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820" w:type="dxa"/>
            <w:vAlign w:val="bottom"/>
            <w:tcBorders>
              <w:top w:val="single" w:sz="8" w:color="auto"/>
            </w:tcBorders>
          </w:tcPr>
          <w:p>
            <w:pPr>
              <w:jc w:val="center"/>
              <w:ind w:right="67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8"/>
              </w:rPr>
              <w:t>File Number)</w:t>
            </w:r>
          </w:p>
        </w:tc>
        <w:tc>
          <w:tcPr>
            <w:tcW w:w="282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1885 West 2100 South</w:t>
            </w:r>
          </w:p>
        </w:tc>
        <w:tc>
          <w:tcPr>
            <w:tcW w:w="2820" w:type="dxa"/>
            <w:vAlign w:val="bottom"/>
          </w:tcPr>
          <w:p>
            <w:pPr>
              <w:spacing w:after="0"/>
              <w:rPr>
                <w:sz w:val="24"/>
                <w:szCs w:val="24"/>
                <w:color w:val="auto"/>
              </w:rPr>
            </w:pPr>
          </w:p>
        </w:tc>
      </w:tr>
      <w:tr>
        <w:trPr>
          <w:trHeight w:val="220"/>
        </w:trPr>
        <w:tc>
          <w:tcPr>
            <w:tcW w:w="2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Salt Lake City, UT 84119</w:t>
            </w:r>
          </w:p>
        </w:tc>
        <w:tc>
          <w:tcPr>
            <w:tcW w:w="2820" w:type="dxa"/>
            <w:vAlign w:val="bottom"/>
          </w:tcPr>
          <w:p>
            <w:pPr>
              <w:spacing w:after="0"/>
              <w:rPr>
                <w:sz w:val="19"/>
                <w:szCs w:val="19"/>
                <w:color w:val="auto"/>
              </w:rPr>
            </w:pPr>
          </w:p>
        </w:tc>
      </w:tr>
      <w:tr>
        <w:trPr>
          <w:trHeight w:val="234"/>
        </w:trPr>
        <w:tc>
          <w:tcPr>
            <w:tcW w:w="2960" w:type="dxa"/>
            <w:vAlign w:val="bottom"/>
          </w:tcPr>
          <w:p>
            <w:pPr>
              <w:spacing w:after="0"/>
              <w:rPr>
                <w:sz w:val="20"/>
                <w:szCs w:val="20"/>
                <w:color w:val="auto"/>
              </w:rPr>
            </w:pPr>
          </w:p>
        </w:tc>
        <w:tc>
          <w:tcPr>
            <w:tcW w:w="54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(Address of principal executive offices, including Zip Code)</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(801) 839-3500</w:t>
            </w:r>
          </w:p>
        </w:tc>
        <w:tc>
          <w:tcPr>
            <w:tcW w:w="282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SINT</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22, 2026, SINTX Technologies, Inc. (the “Company”) received a letter (the “Notice”) from the Listing Qualifications Department of The Nasdaq Stock Market LLC (“Nasdaq”) notifying the Company that it is not in compliance with Nasdaq Listing Rule 5550(b)(1), which requires companies listed on The Nasdaq Capital Market to maintain a minimum of $2.5 million in stockholders’ equity for continued listing.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reported in the Company’s Quarterly Report on Form 10-Q for the quarter ended March 31, 2026, the Company reported stockholders’ equity of approximately $904,000 and, as stated in the Notice, the Company also does not satisfy the alternative continued listing standards based on a market value of listed securities of at least $35,000,000, or net income from continuing operations of $500,000 in the most recently completed fiscal year or in two of the last three most recently completed fiscal years.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accordance with Nasdaq Listing Rules, the Company has 45 calendar days, or until July 6, 2026, to submit a plan to regain compliance. If Nasdaq accepts the Company’s plan, Nasdaq may grant the Company an extension of up to 180 calendar days from the date of the Notice to evidence compliance.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intends to timely submit a compliance plan to Nasdaq. The Company has been actively pursuing financing and other strategic initiatives intended to strengthen its balance sheet and improve stockholders’ equity. The Company is currently engaged in discussions regarding a potential equity financing transaction; however, there can be no assurance that any such transaction will be consummated or that the Company will be able to regain compliance with the applicable Nasdaq continued listing requirements.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has no immediate effect on the listing or trading of the Company’s common stock on The Nasdaq Capital Market.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including statements regarding the Company’s intent and ability to regain compliance with Nasdaq continued listing requirements, anticipated financing activities, and the timing and outcome of any such activities. These forward-looking statements are based on current expectations and assumptions and are subject to risks and uncertainties that could cause actual results to differ materially from those described in the forward-looking statements. Factors that could cause actual results to differ materially include, among others, the Company’s ability to complete financing transactions, maintain compliance with Nasdaq listing standards, and other risks described in the Company’s filings with the Securities and Exchange Commission. The Company undertakes no obligation to update any forward-looking statements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5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SINTX Technologies, Inc.</w:t>
            </w:r>
          </w:p>
        </w:tc>
      </w:tr>
      <w:tr>
        <w:trPr>
          <w:trHeight w:val="432"/>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May 27, 2026</w:t>
            </w:r>
          </w:p>
        </w:tc>
        <w:tc>
          <w:tcPr>
            <w:tcW w:w="5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Eric K. Olson</w:t>
            </w:r>
          </w:p>
        </w:tc>
      </w:tr>
      <w:tr>
        <w:trPr>
          <w:trHeight w:val="191"/>
        </w:trPr>
        <w:tc>
          <w:tcPr>
            <w:tcW w:w="580" w:type="dxa"/>
            <w:vAlign w:val="bottom"/>
          </w:tcPr>
          <w:p>
            <w:pPr>
              <w:spacing w:after="0"/>
              <w:rPr>
                <w:sz w:val="16"/>
                <w:szCs w:val="16"/>
                <w:color w:val="auto"/>
              </w:rPr>
            </w:pPr>
          </w:p>
        </w:tc>
        <w:tc>
          <w:tcPr>
            <w:tcW w:w="506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Eric K. Olson</w:t>
            </w:r>
          </w:p>
        </w:tc>
      </w:tr>
      <w:tr>
        <w:trPr>
          <w:trHeight w:val="234"/>
        </w:trPr>
        <w:tc>
          <w:tcPr>
            <w:tcW w:w="58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58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2026-05-27T14:03:12Z</dcterms:created>
  <dcterms:modified xsi:type="dcterms:W3CDTF">2026-05-27T14:03:12Z</dcterms:modified>
</cp:coreProperties>
</file>