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F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 xml:space="preserve">September 30, </w:t>
      </w:r>
      <w:bookmarkStart w:id="5" w:name="xdx_90A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A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50101"/>
      <w:bookmarkEnd w:id="7"/>
      <w:r>
        <w:rPr>
          <w:rFonts w:ascii="Times New Roman;Times;Serif" w:hAnsi="Times New Roman;Times;Serif"/>
          <w:b/>
          <w:i w:val="false"/>
          <w:caps w:val="false"/>
          <w:smallCaps w:val="false"/>
          <w:sz w:val="20"/>
        </w:rPr>
        <w:t>001-33624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4_edei--EntityRegistrantName_c2025"/>
      <w:bookmarkEnd w:id="8"/>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870"/>
        <w:gridCol w:w="60"/>
        <w:gridCol w:w="1565"/>
      </w:tblGrid>
      <w:tr>
        <w:trPr/>
        <w:tc>
          <w:tcPr>
            <w:tcW w:w="2870" w:type="dxa"/>
            <w:tcBorders/>
            <w:vAlign w:val="center"/>
          </w:tcPr>
          <w:p>
            <w:pPr>
              <w:pStyle w:val="TableContents"/>
              <w:bidi w:val="0"/>
              <w:spacing w:before="0" w:after="283"/>
              <w:jc w:val="center"/>
              <w:rPr>
                <w:rFonts w:ascii="Times New Roman;Times;Serif" w:hAnsi="Times New Roman;Times;Serif"/>
                <w:b/>
                <w:i w:val="false"/>
                <w:caps/>
                <w:sz w:val="20"/>
              </w:rPr>
            </w:pPr>
            <w:bookmarkStart w:id="9" w:name="xdx_90F_edei--EntityIncorporationStateCo"/>
            <w:bookmarkEnd w:id="9"/>
            <w:r>
              <w:rPr>
                <w:rFonts w:ascii="Times New Roman;Times;Serif" w:hAnsi="Times New Roman;Times;Serif"/>
                <w:b/>
                <w:i w:val="false"/>
                <w:caps/>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84-1375299</w:t>
            </w:r>
          </w:p>
        </w:tc>
      </w:tr>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575"/>
        <w:gridCol w:w="60"/>
        <w:gridCol w:w="935"/>
      </w:tblGrid>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 xml:space="preserve">1885 West 2100 South, </w:t>
            </w:r>
            <w:bookmarkStart w:id="12" w:name="xdx_90A_edei--EntityAddressCityOrTown_c2"/>
            <w:bookmarkEnd w:id="12"/>
            <w:r>
              <w:rPr>
                <w:rFonts w:ascii="Times New Roman;Times;Serif" w:hAnsi="Times New Roman;Times;Serif"/>
                <w:b/>
                <w:i w:val="false"/>
                <w:caps w:val="false"/>
                <w:smallCaps w:val="false"/>
                <w:sz w:val="20"/>
              </w:rPr>
              <w:t xml:space="preserve">Salt Lake City, </w:t>
            </w:r>
            <w:bookmarkStart w:id="13" w:name="xdx_90C_edei--EntityAddressStateOrProvin"/>
            <w:bookmarkEnd w:id="13"/>
            <w:r>
              <w:rPr>
                <w:rFonts w:ascii="Times New Roman;Times;Serif" w:hAnsi="Times New Roman;Times;Serif"/>
                <w:b/>
                <w:i w:val="false"/>
                <w:caps w:val="false"/>
                <w:smallCaps w:val="false"/>
                <w:sz w:val="20"/>
              </w:rPr>
              <w:t>UT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F_edei--EntityAddressPostalZipCode"/>
            <w:bookmarkEnd w:id="14"/>
            <w:r>
              <w:rPr>
                <w:rFonts w:ascii="Times New Roman;Times;Serif" w:hAnsi="Times New Roman;Times;Serif"/>
                <w:b/>
                <w:i w:val="false"/>
                <w:caps w:val="false"/>
                <w:smallCaps w:val="false"/>
                <w:sz w:val="20"/>
              </w:rPr>
              <w:t>84119</w:t>
            </w:r>
          </w:p>
        </w:tc>
      </w:tr>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F_edei--CityAreaCode_c20250101__20"/>
      <w:bookmarkEnd w:id="15"/>
      <w:r>
        <w:rPr>
          <w:rFonts w:ascii="Times New Roman;Times;Serif" w:hAnsi="Times New Roman;Times;Serif"/>
          <w:b/>
          <w:i w:val="false"/>
          <w:caps w:val="false"/>
          <w:smallCaps w:val="false"/>
          <w:sz w:val="20"/>
        </w:rPr>
        <w:t xml:space="preserve">(801) </w:t>
      </w:r>
      <w:bookmarkStart w:id="16" w:name="xdx_90D_edei--LocalPhoneNumber_c20250101"/>
      <w:bookmarkEnd w:id="16"/>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615" w:type="dxa"/>
        <w:jc w:val="left"/>
        <w:tblInd w:w="0" w:type="dxa"/>
        <w:tblLayout w:type="fixed"/>
        <w:tblCellMar>
          <w:top w:w="0" w:type="dxa"/>
          <w:left w:w="0" w:type="dxa"/>
          <w:bottom w:w="28" w:type="dxa"/>
          <w:right w:w="0" w:type="dxa"/>
        </w:tblCellMar>
      </w:tblPr>
      <w:tblGrid>
        <w:gridCol w:w="1490"/>
        <w:gridCol w:w="60"/>
        <w:gridCol w:w="141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4_edei--Security12bTitle_c20250101"/>
            <w:bookmarkEnd w:id="17"/>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TradingSymbol_c20250101__2"/>
            <w:bookmarkEnd w:id="18"/>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5_edei--SecurityExchangeName_c2025"/>
            <w:bookmarkEnd w:id="19"/>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F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bookmarkStart w:id="21" w:name="xdx_904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2_edei--EntityFilerCategory_c2025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E_edei--EntitySmallBusiness_c20250"/>
            <w:bookmarkEnd w:id="23"/>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4" w:name="xdx_903_edei--EntityEmergingGrowthCompan"/>
            <w:bookmarkEnd w:id="24"/>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F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 w:name="xdx_900_edei--EntityCommonStockSharesOut"/>
      <w:bookmarkEnd w:id="26"/>
      <w:r>
        <w:rPr>
          <w:rFonts w:ascii="Times New Roman;Times;Serif" w:hAnsi="Times New Roman;Times;Serif"/>
          <w:b w:val="false"/>
          <w:i w:val="false"/>
          <w:caps w:val="false"/>
          <w:smallCaps w:val="false"/>
          <w:sz w:val="20"/>
        </w:rPr>
        <w:t>3,851,956 shares of common stock, $</w:t>
      </w:r>
      <w:bookmarkStart w:id="27" w:name="xdx_90F_edei--EntityListingParValuePerSh"/>
      <w:bookmarkEnd w:id="27"/>
      <w:r>
        <w:rPr>
          <w:rFonts w:ascii="Times New Roman;Times;Serif" w:hAnsi="Times New Roman;Times;Serif"/>
          <w:b w:val="false"/>
          <w:i w:val="false"/>
          <w:caps w:val="false"/>
          <w:smallCaps w:val="false"/>
          <w:sz w:val="20"/>
        </w:rPr>
        <w:t>0.01 par value, were outstanding at November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895"/>
        <w:gridCol w:w="245"/>
      </w:tblGrid>
      <w:tr>
        <w:trPr/>
        <w:tc>
          <w:tcPr>
            <w:tcW w:w="7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Financial Information</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Financial Statements</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Condensed Consolidated Balance Sheets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8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8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8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8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8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8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4. 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Part II. Other Information</w:t>
              </w:r>
            </w:hyperlink>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1. 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1A.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3. 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4. 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5.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8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6. 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8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Condensed Consolidated Balance Sheets -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D_111_pn3n3_zoqv1wfPX86h"/>
      <w:bookmarkStart w:id="30" w:name="xdx_30D_111_pn3n3_zoqv1wfPX86h"/>
      <w:bookmarkEnd w:id="30"/>
    </w:p>
    <w:tbl>
      <w:tblPr>
        <w:tblW w:w="10205" w:type="dxa"/>
        <w:jc w:val="left"/>
        <w:tblInd w:w="0" w:type="dxa"/>
        <w:tblLayout w:type="fixed"/>
        <w:tblCellMar>
          <w:top w:w="0" w:type="dxa"/>
          <w:left w:w="0" w:type="dxa"/>
          <w:bottom w:w="0" w:type="dxa"/>
          <w:right w:w="0" w:type="dxa"/>
        </w:tblCellMar>
      </w:tblPr>
      <w:tblGrid>
        <w:gridCol w:w="7458"/>
        <w:gridCol w:w="60"/>
        <w:gridCol w:w="168"/>
        <w:gridCol w:w="1062"/>
        <w:gridCol w:w="95"/>
        <w:gridCol w:w="60"/>
        <w:gridCol w:w="163"/>
        <w:gridCol w:w="1027"/>
        <w:gridCol w:w="112"/>
      </w:tblGrid>
      <w:tr>
        <w:trPr/>
        <w:tc>
          <w:tcPr>
            <w:tcW w:w="7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C_20250930_z3SGnbDL5tGb"/>
            <w:bookmarkEnd w:id="31"/>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A_20241231_zxY5x4iiiIlf"/>
            <w:bookmarkEnd w:id="32"/>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2" w:type="dxa"/>
            <w:tcBorders/>
            <w:vAlign w:val="center"/>
          </w:tcPr>
          <w:p>
            <w:pPr>
              <w:pStyle w:val="TableContents"/>
              <w:bidi w:val="0"/>
              <w:spacing w:before="0" w:after="283"/>
              <w:jc w:val="left"/>
              <w:rPr/>
            </w:pPr>
            <w:r>
              <w:rPr/>
              <w:t> </w:t>
            </w:r>
          </w:p>
        </w:tc>
      </w:tr>
      <w:tr>
        <w:trPr/>
        <w:tc>
          <w:tcPr>
            <w:tcW w:w="7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33" w:name="xdx_407_eus-gaap--AssetsAbstract_iB_zpMm"/>
            <w:bookmarkEnd w:id="33"/>
          </w:p>
        </w:tc>
      </w:tr>
      <w:tr>
        <w:trPr/>
        <w:tc>
          <w:tcPr>
            <w:tcW w:w="745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 w:name="xdx_40E_eus-gaap--AssetsCurrentAbstract_"/>
            <w:bookmarkEnd w:id="34"/>
          </w:p>
        </w:tc>
      </w:tr>
      <w:tr>
        <w:trPr/>
        <w:tc>
          <w:tcPr>
            <w:tcW w:w="7458"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5" w:name="xdx_40D_eus-gaap--CashAndCashEquivalents"/>
            <w:bookmarkEnd w:id="35"/>
          </w:p>
        </w:tc>
      </w:tr>
      <w:tr>
        <w:trPr/>
        <w:tc>
          <w:tcPr>
            <w:tcW w:w="745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3,598</w:t>
            </w:r>
          </w:p>
        </w:tc>
        <w:tc>
          <w:tcPr>
            <w:tcW w:w="112" w:type="dxa"/>
            <w:tcBorders/>
            <w:shd w:fill="CCEEFF" w:val="clear"/>
            <w:vAlign w:val="center"/>
          </w:tcPr>
          <w:p>
            <w:pPr>
              <w:pStyle w:val="TableContents"/>
              <w:bidi w:val="0"/>
              <w:spacing w:before="0" w:after="283"/>
              <w:jc w:val="left"/>
              <w:rPr/>
            </w:pPr>
            <w:r>
              <w:rPr/>
              <w:t> </w:t>
            </w:r>
            <w:bookmarkStart w:id="36" w:name="xdx_403_eus-gaap--AccountsAndOtherReceiv"/>
            <w:bookmarkEnd w:id="36"/>
          </w:p>
        </w:tc>
      </w:tr>
      <w:tr>
        <w:trPr/>
        <w:tc>
          <w:tcPr>
            <w:tcW w:w="7458" w:type="dxa"/>
            <w:tcBorders/>
            <w:shd w:fill="FFFFFF" w:val="clear"/>
            <w:vAlign w:val="center"/>
          </w:tcPr>
          <w:p>
            <w:pPr>
              <w:pStyle w:val="TableContents"/>
              <w:bidi w:val="0"/>
              <w:spacing w:before="0" w:after="283"/>
              <w:jc w:val="left"/>
              <w:rPr/>
            </w:pPr>
            <w:r>
              <w:rPr/>
              <w:t>Account and other receivables, net of allowance for credit losses of $</w:t>
            </w:r>
            <w:bookmarkStart w:id="37" w:name="xdx_904_eus-gaap--AllowanceForDoubtfulAc"/>
            <w:bookmarkEnd w:id="37"/>
            <w:r>
              <w:rPr/>
              <w:t>4.2 and $</w:t>
            </w:r>
            <w:bookmarkStart w:id="38" w:name="xdx_90F_eus-gaap--AllowanceForDoubtfulAc"/>
            <w:bookmarkEnd w:id="38"/>
            <w:r>
              <w:rPr/>
              <w:t>61.0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196</w:t>
            </w:r>
          </w:p>
        </w:tc>
        <w:tc>
          <w:tcPr>
            <w:tcW w:w="112" w:type="dxa"/>
            <w:tcBorders/>
            <w:shd w:fill="FFFFFF" w:val="clear"/>
            <w:vAlign w:val="center"/>
          </w:tcPr>
          <w:p>
            <w:pPr>
              <w:pStyle w:val="TableContents"/>
              <w:bidi w:val="0"/>
              <w:spacing w:before="0" w:after="283"/>
              <w:jc w:val="left"/>
              <w:rPr/>
            </w:pPr>
            <w:r>
              <w:rPr/>
              <w:t> </w:t>
            </w:r>
            <w:bookmarkStart w:id="39" w:name="xdx_400_eus-gaap--PrepaidExpenseAndOther"/>
            <w:bookmarkEnd w:id="39"/>
          </w:p>
        </w:tc>
      </w:tr>
      <w:tr>
        <w:trPr/>
        <w:tc>
          <w:tcPr>
            <w:tcW w:w="745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475</w:t>
            </w:r>
          </w:p>
        </w:tc>
        <w:tc>
          <w:tcPr>
            <w:tcW w:w="112" w:type="dxa"/>
            <w:tcBorders/>
            <w:shd w:fill="CCEEFF" w:val="clear"/>
            <w:vAlign w:val="center"/>
          </w:tcPr>
          <w:p>
            <w:pPr>
              <w:pStyle w:val="TableContents"/>
              <w:bidi w:val="0"/>
              <w:spacing w:before="0" w:after="283"/>
              <w:jc w:val="left"/>
              <w:rPr/>
            </w:pPr>
            <w:r>
              <w:rPr/>
              <w:t> </w:t>
            </w:r>
            <w:bookmarkStart w:id="40" w:name="xdx_40B_eus-gaap--InventoryNet_i02I_maCz"/>
            <w:bookmarkEnd w:id="40"/>
          </w:p>
        </w:tc>
      </w:tr>
      <w:tr>
        <w:trPr/>
        <w:tc>
          <w:tcPr>
            <w:tcW w:w="7458"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502</w:t>
            </w:r>
          </w:p>
        </w:tc>
        <w:tc>
          <w:tcPr>
            <w:tcW w:w="112" w:type="dxa"/>
            <w:tcBorders/>
            <w:shd w:fill="FFFFFF" w:val="clear"/>
            <w:vAlign w:val="center"/>
          </w:tcPr>
          <w:p>
            <w:pPr>
              <w:pStyle w:val="TableContents"/>
              <w:bidi w:val="0"/>
              <w:spacing w:before="0" w:after="283"/>
              <w:jc w:val="left"/>
              <w:rPr/>
            </w:pPr>
            <w:r>
              <w:rPr/>
              <w:t> </w:t>
            </w:r>
            <w:bookmarkStart w:id="41" w:name="xdx_406_eus-gaap--AssetsCurrent_i02TI_mt"/>
            <w:bookmarkEnd w:id="41"/>
          </w:p>
        </w:tc>
      </w:tr>
      <w:tr>
        <w:trPr/>
        <w:tc>
          <w:tcPr>
            <w:tcW w:w="745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7,394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4,771</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2" w:name="xdx_40C_eus-gaap--InventoryNoncurrent_i0"/>
            <w:bookmarkEnd w:id="42"/>
          </w:p>
        </w:tc>
      </w:tr>
      <w:tr>
        <w:trPr/>
        <w:tc>
          <w:tcPr>
            <w:tcW w:w="7458"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465</w:t>
            </w:r>
          </w:p>
        </w:tc>
        <w:tc>
          <w:tcPr>
            <w:tcW w:w="112" w:type="dxa"/>
            <w:tcBorders/>
            <w:shd w:fill="CCEEFF" w:val="clear"/>
            <w:vAlign w:val="center"/>
          </w:tcPr>
          <w:p>
            <w:pPr>
              <w:pStyle w:val="TableContents"/>
              <w:bidi w:val="0"/>
              <w:spacing w:before="0" w:after="283"/>
              <w:jc w:val="left"/>
              <w:rPr/>
            </w:pPr>
            <w:r>
              <w:rPr/>
              <w:t> </w:t>
            </w:r>
            <w:bookmarkStart w:id="43" w:name="xdx_40F_eus-gaap--PropertyPlantAndEquipm"/>
            <w:bookmarkEnd w:id="43"/>
          </w:p>
        </w:tc>
      </w:tr>
      <w:tr>
        <w:trPr/>
        <w:tc>
          <w:tcPr>
            <w:tcW w:w="745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922</w:t>
            </w:r>
          </w:p>
        </w:tc>
        <w:tc>
          <w:tcPr>
            <w:tcW w:w="112" w:type="dxa"/>
            <w:tcBorders/>
            <w:shd w:fill="FFFFFF" w:val="clear"/>
            <w:vAlign w:val="center"/>
          </w:tcPr>
          <w:p>
            <w:pPr>
              <w:pStyle w:val="TableContents"/>
              <w:bidi w:val="0"/>
              <w:spacing w:before="0" w:after="283"/>
              <w:jc w:val="left"/>
              <w:rPr/>
            </w:pPr>
            <w:r>
              <w:rPr/>
              <w:t> </w:t>
            </w:r>
            <w:bookmarkStart w:id="44" w:name="xdx_407_eus-gaap--IntangibleAssetsNetExc"/>
            <w:bookmarkEnd w:id="44"/>
          </w:p>
        </w:tc>
      </w:tr>
      <w:tr>
        <w:trPr/>
        <w:tc>
          <w:tcPr>
            <w:tcW w:w="7458"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bookmarkStart w:id="45" w:name="xdx_401_eus-gaap--Goodwill_i01I_maCzkcs_"/>
            <w:bookmarkEnd w:id="45"/>
          </w:p>
        </w:tc>
      </w:tr>
      <w:tr>
        <w:trPr/>
        <w:tc>
          <w:tcPr>
            <w:tcW w:w="7458"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46" w:name="xdx_40F_eus-gaap--OperatingLeaseRightOfU"/>
            <w:bookmarkEnd w:id="46"/>
          </w:p>
        </w:tc>
      </w:tr>
      <w:tr>
        <w:trPr/>
        <w:tc>
          <w:tcPr>
            <w:tcW w:w="7458" w:type="dxa"/>
            <w:tcBorders/>
            <w:shd w:fill="CCEEFF" w:val="clear"/>
            <w:vAlign w:val="center"/>
          </w:tcPr>
          <w:p>
            <w:pPr>
              <w:pStyle w:val="TableContents"/>
              <w:bidi w:val="0"/>
              <w:spacing w:before="0" w:after="283"/>
              <w:jc w:val="left"/>
              <w:rPr/>
            </w:pPr>
            <w:r>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3,159</w:t>
            </w:r>
          </w:p>
        </w:tc>
        <w:tc>
          <w:tcPr>
            <w:tcW w:w="112" w:type="dxa"/>
            <w:tcBorders/>
            <w:shd w:fill="CCEEFF" w:val="clear"/>
            <w:vAlign w:val="center"/>
          </w:tcPr>
          <w:p>
            <w:pPr>
              <w:pStyle w:val="TableContents"/>
              <w:bidi w:val="0"/>
              <w:spacing w:before="0" w:after="283"/>
              <w:jc w:val="left"/>
              <w:rPr/>
            </w:pPr>
            <w:r>
              <w:rPr/>
              <w:t> </w:t>
            </w:r>
            <w:bookmarkStart w:id="47" w:name="xdx_400_eus-gaap--OtherAssetsNoncurrent_"/>
            <w:bookmarkEnd w:id="47"/>
          </w:p>
        </w:tc>
      </w:tr>
      <w:tr>
        <w:trPr/>
        <w:tc>
          <w:tcPr>
            <w:tcW w:w="7458"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112" w:type="dxa"/>
            <w:tcBorders/>
            <w:shd w:fill="FFFFFF" w:val="clear"/>
            <w:vAlign w:val="center"/>
          </w:tcPr>
          <w:p>
            <w:pPr>
              <w:pStyle w:val="TableContents"/>
              <w:bidi w:val="0"/>
              <w:spacing w:before="0" w:after="283"/>
              <w:jc w:val="left"/>
              <w:rPr/>
            </w:pPr>
            <w:r>
              <w:rPr/>
              <w:t> </w:t>
            </w:r>
            <w:bookmarkStart w:id="48" w:name="xdx_407_eus-gaap--Assets_i01TI_mtCzkcs_z"/>
            <w:bookmarkEnd w:id="48"/>
          </w:p>
        </w:tc>
      </w:tr>
      <w:tr>
        <w:trPr/>
        <w:tc>
          <w:tcPr>
            <w:tcW w:w="7458"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CCEEFF" w:val="clear"/>
            <w:tcMar>
              <w:bottom w:w="28" w:type="dxa"/>
            </w:tcMar>
            <w:vAlign w:val="center"/>
          </w:tcPr>
          <w:p>
            <w:pPr>
              <w:pStyle w:val="TableContents"/>
              <w:bidi w:val="0"/>
              <w:spacing w:before="0" w:after="283"/>
              <w:jc w:val="right"/>
              <w:rPr/>
            </w:pPr>
            <w:r>
              <w:rPr/>
              <w:t>11,364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pPr>
            <w:r>
              <w:rPr/>
              <w:t>9,413</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9" w:name="xdx_40E_eus-gaap--LiabilitiesAndStockhol"/>
            <w:bookmarkEnd w:id="49"/>
          </w:p>
        </w:tc>
      </w:tr>
      <w:tr>
        <w:trPr/>
        <w:tc>
          <w:tcPr>
            <w:tcW w:w="7458"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5_eus-gaap--LiabilitiesCurrentAbst"/>
            <w:bookmarkEnd w:id="50"/>
          </w:p>
        </w:tc>
      </w:tr>
      <w:tr>
        <w:trPr/>
        <w:tc>
          <w:tcPr>
            <w:tcW w:w="745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1" w:name="xdx_400_eus-gaap--AccountsPayableCurrent"/>
            <w:bookmarkEnd w:id="51"/>
          </w:p>
        </w:tc>
      </w:tr>
      <w:tr>
        <w:trPr/>
        <w:tc>
          <w:tcPr>
            <w:tcW w:w="745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299</w:t>
            </w:r>
          </w:p>
        </w:tc>
        <w:tc>
          <w:tcPr>
            <w:tcW w:w="112" w:type="dxa"/>
            <w:tcBorders/>
            <w:shd w:fill="CCEEFF" w:val="clear"/>
            <w:vAlign w:val="center"/>
          </w:tcPr>
          <w:p>
            <w:pPr>
              <w:pStyle w:val="TableContents"/>
              <w:bidi w:val="0"/>
              <w:spacing w:before="0" w:after="283"/>
              <w:jc w:val="left"/>
              <w:rPr/>
            </w:pPr>
            <w:r>
              <w:rPr/>
              <w:t> </w:t>
            </w:r>
            <w:bookmarkStart w:id="52" w:name="xdx_404_eus-gaap--AccruedLiabilitiesCurr"/>
            <w:bookmarkEnd w:id="52"/>
          </w:p>
        </w:tc>
      </w:tr>
      <w:tr>
        <w:trPr/>
        <w:tc>
          <w:tcPr>
            <w:tcW w:w="7458"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986</w:t>
            </w:r>
          </w:p>
        </w:tc>
        <w:tc>
          <w:tcPr>
            <w:tcW w:w="112" w:type="dxa"/>
            <w:tcBorders/>
            <w:shd w:fill="FFFFFF" w:val="clear"/>
            <w:vAlign w:val="center"/>
          </w:tcPr>
          <w:p>
            <w:pPr>
              <w:pStyle w:val="TableContents"/>
              <w:bidi w:val="0"/>
              <w:spacing w:before="0" w:after="283"/>
              <w:jc w:val="left"/>
              <w:rPr/>
            </w:pPr>
            <w:r>
              <w:rPr/>
              <w:t> </w:t>
            </w:r>
            <w:bookmarkStart w:id="53" w:name="xdx_407_eus-gaap--LongTermDebtCurrent_i0"/>
            <w:bookmarkEnd w:id="53"/>
          </w:p>
        </w:tc>
      </w:tr>
      <w:tr>
        <w:trPr/>
        <w:tc>
          <w:tcPr>
            <w:tcW w:w="7458" w:type="dxa"/>
            <w:tcBorders/>
            <w:shd w:fill="CCEEFF" w:val="clear"/>
            <w:vAlign w:val="center"/>
          </w:tcPr>
          <w:p>
            <w:pPr>
              <w:pStyle w:val="TableContents"/>
              <w:bidi w:val="0"/>
              <w:spacing w:before="0" w:after="283"/>
              <w:jc w:val="left"/>
              <w:rPr/>
            </w:pPr>
            <w:r>
              <w:rPr/>
              <w:t>Debt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32</w:t>
            </w:r>
          </w:p>
        </w:tc>
        <w:tc>
          <w:tcPr>
            <w:tcW w:w="112" w:type="dxa"/>
            <w:tcBorders/>
            <w:shd w:fill="CCEEFF" w:val="clear"/>
            <w:vAlign w:val="center"/>
          </w:tcPr>
          <w:p>
            <w:pPr>
              <w:pStyle w:val="TableContents"/>
              <w:bidi w:val="0"/>
              <w:spacing w:before="0" w:after="283"/>
              <w:jc w:val="left"/>
              <w:rPr/>
            </w:pPr>
            <w:r>
              <w:rPr/>
              <w:t> </w:t>
            </w:r>
            <w:bookmarkStart w:id="54" w:name="xdx_405_eus-gaap--DerivativeLiabilitiesC"/>
            <w:bookmarkEnd w:id="54"/>
          </w:p>
        </w:tc>
      </w:tr>
      <w:tr>
        <w:trPr/>
        <w:tc>
          <w:tcPr>
            <w:tcW w:w="7458"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208</w:t>
            </w:r>
          </w:p>
        </w:tc>
        <w:tc>
          <w:tcPr>
            <w:tcW w:w="112" w:type="dxa"/>
            <w:tcBorders/>
            <w:shd w:fill="FFFFFF" w:val="clear"/>
            <w:vAlign w:val="center"/>
          </w:tcPr>
          <w:p>
            <w:pPr>
              <w:pStyle w:val="TableContents"/>
              <w:bidi w:val="0"/>
              <w:spacing w:before="0" w:after="283"/>
              <w:jc w:val="left"/>
              <w:rPr/>
            </w:pPr>
            <w:r>
              <w:rPr/>
              <w:t> </w:t>
            </w:r>
            <w:bookmarkStart w:id="55" w:name="xdx_403_eus-gaap--OperatingLeaseLiabilit"/>
            <w:bookmarkEnd w:id="55"/>
          </w:p>
        </w:tc>
      </w:tr>
      <w:tr>
        <w:trPr/>
        <w:tc>
          <w:tcPr>
            <w:tcW w:w="7458" w:type="dxa"/>
            <w:tcBorders/>
            <w:shd w:fill="CCEEFF" w:val="clear"/>
            <w:vAlign w:val="center"/>
          </w:tcPr>
          <w:p>
            <w:pPr>
              <w:pStyle w:val="TableContents"/>
              <w:bidi w:val="0"/>
              <w:spacing w:before="0" w:after="283"/>
              <w:jc w:val="left"/>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456</w:t>
            </w:r>
          </w:p>
        </w:tc>
        <w:tc>
          <w:tcPr>
            <w:tcW w:w="112" w:type="dxa"/>
            <w:tcBorders/>
            <w:shd w:fill="CCEEFF" w:val="clear"/>
            <w:vAlign w:val="center"/>
          </w:tcPr>
          <w:p>
            <w:pPr>
              <w:pStyle w:val="TableContents"/>
              <w:bidi w:val="0"/>
              <w:spacing w:before="0" w:after="283"/>
              <w:jc w:val="left"/>
              <w:rPr/>
            </w:pPr>
            <w:r>
              <w:rPr/>
              <w:t> </w:t>
            </w:r>
            <w:bookmarkStart w:id="56" w:name="xdx_40D_eus-gaap--OtherLiabilitiesCurren"/>
            <w:bookmarkEnd w:id="56"/>
          </w:p>
        </w:tc>
      </w:tr>
      <w:tr>
        <w:trPr/>
        <w:tc>
          <w:tcPr>
            <w:tcW w:w="7458"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 </w:t>
            </w:r>
            <w:bookmarkStart w:id="57" w:name="xdx_40F_eus-gaap--LiabilitiesCurrent_i02"/>
            <w:bookmarkEnd w:id="57"/>
          </w:p>
        </w:tc>
      </w:tr>
      <w:tr>
        <w:trPr/>
        <w:tc>
          <w:tcPr>
            <w:tcW w:w="745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4,347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1,982</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8" w:name="xdx_40B_eus-gaap--OperatingLeaseLiabilit"/>
            <w:bookmarkEnd w:id="58"/>
          </w:p>
        </w:tc>
      </w:tr>
      <w:tr>
        <w:trPr/>
        <w:tc>
          <w:tcPr>
            <w:tcW w:w="745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3,537</w:t>
            </w:r>
          </w:p>
        </w:tc>
        <w:tc>
          <w:tcPr>
            <w:tcW w:w="112" w:type="dxa"/>
            <w:tcBorders/>
            <w:shd w:fill="CCEEFF" w:val="clear"/>
            <w:vAlign w:val="center"/>
          </w:tcPr>
          <w:p>
            <w:pPr>
              <w:pStyle w:val="TableContents"/>
              <w:bidi w:val="0"/>
              <w:spacing w:before="0" w:after="283"/>
              <w:jc w:val="left"/>
              <w:rPr/>
            </w:pPr>
            <w:r>
              <w:rPr/>
              <w:t> </w:t>
            </w:r>
            <w:bookmarkStart w:id="59" w:name="xdx_401_eus-gaap--Liabilities_i01TI_mtCz"/>
            <w:bookmarkEnd w:id="59"/>
          </w:p>
        </w:tc>
      </w:tr>
      <w:tr>
        <w:trPr/>
        <w:tc>
          <w:tcPr>
            <w:tcW w:w="745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7,296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5,519</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0" w:name="xdx_40B_eus-gaap--CommitmentsAndContinge"/>
            <w:bookmarkEnd w:id="60"/>
          </w:p>
        </w:tc>
      </w:tr>
      <w:tr>
        <w:trPr/>
        <w:tc>
          <w:tcPr>
            <w:tcW w:w="7458"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1" w:name="xdx_409_eus-gaap--StockholdersEquityAbst"/>
            <w:bookmarkEnd w:id="61"/>
          </w:p>
        </w:tc>
      </w:tr>
      <w:tr>
        <w:trPr/>
        <w:tc>
          <w:tcPr>
            <w:tcW w:w="7458"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2" w:name="xdx_40E_eus-gaap--PreferredStockValue_i0"/>
            <w:bookmarkEnd w:id="62"/>
          </w:p>
        </w:tc>
      </w:tr>
      <w:tr>
        <w:trPr/>
        <w:tc>
          <w:tcPr>
            <w:tcW w:w="7458" w:type="dxa"/>
            <w:tcBorders/>
            <w:shd w:fill="CCEEFF" w:val="clear"/>
            <w:vAlign w:val="center"/>
          </w:tcPr>
          <w:p>
            <w:pPr>
              <w:pStyle w:val="TableContents"/>
              <w:bidi w:val="0"/>
              <w:spacing w:before="0" w:after="283"/>
              <w:jc w:val="left"/>
              <w:rPr/>
            </w:pPr>
            <w:r>
              <w:rPr/>
              <w:t>Convertible preferred stock Series B, $</w:t>
            </w:r>
            <w:bookmarkStart w:id="63" w:name="xdx_904_eus-gaap--PreferredStockParOrSta"/>
            <w:bookmarkStart w:id="64" w:name="xdx_90B_eus-gaap--PreferredStockParOrSta"/>
            <w:bookmarkEnd w:id="63"/>
            <w:bookmarkEnd w:id="64"/>
            <w:r>
              <w:rPr/>
              <w:t xml:space="preserve">0.01 par value, </w:t>
            </w:r>
            <w:bookmarkStart w:id="65" w:name="xdx_90C_eus-gaap--PreferredStockSharesAu"/>
            <w:bookmarkStart w:id="66" w:name="xdx_901_eus-gaap--PreferredStockSharesAu"/>
            <w:bookmarkEnd w:id="65"/>
            <w:bookmarkEnd w:id="66"/>
            <w:r>
              <w:rPr/>
              <w:t xml:space="preserve">130,000,000 total shares authorized inclusive of all series of preferred; </w:t>
            </w:r>
            <w:bookmarkStart w:id="67" w:name="xdx_90A_eus-gaap--PreferredStockSharesOu"/>
            <w:bookmarkStart w:id="68" w:name="xdx_905_eus-gaap--PreferredStockSharesOu"/>
            <w:bookmarkStart w:id="69" w:name="xdx_904_eus-gaap--PreferredStockSharesIs"/>
            <w:bookmarkStart w:id="70" w:name="xdx_903_eus-gaap--PreferredStockSharesIs"/>
            <w:bookmarkEnd w:id="67"/>
            <w:bookmarkEnd w:id="68"/>
            <w:bookmarkEnd w:id="69"/>
            <w:bookmarkEnd w:id="70"/>
            <w:r>
              <w:rPr/>
              <w:t>19 shares issued and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71" w:name="xdx_40D_eus-gaap--PreferredStockValue_i0"/>
            <w:bookmarkEnd w:id="71"/>
          </w:p>
        </w:tc>
      </w:tr>
      <w:tr>
        <w:trPr/>
        <w:tc>
          <w:tcPr>
            <w:tcW w:w="7458" w:type="dxa"/>
            <w:tcBorders/>
            <w:shd w:fill="FFFFFF" w:val="clear"/>
            <w:vAlign w:val="center"/>
          </w:tcPr>
          <w:p>
            <w:pPr>
              <w:pStyle w:val="TableContents"/>
              <w:bidi w:val="0"/>
              <w:spacing w:before="0" w:after="283"/>
              <w:jc w:val="left"/>
              <w:rPr/>
            </w:pPr>
            <w:r>
              <w:rPr/>
              <w:t>Convertible preferred stock Series C, $</w:t>
            </w:r>
            <w:bookmarkStart w:id="72" w:name="xdx_900_eus-gaap--PreferredStockParOrSta"/>
            <w:bookmarkStart w:id="73" w:name="xdx_909_eus-gaap--PreferredStockParOrSta"/>
            <w:bookmarkEnd w:id="72"/>
            <w:bookmarkEnd w:id="73"/>
            <w:r>
              <w:rPr/>
              <w:t xml:space="preserve">0.01 par value, </w:t>
            </w:r>
            <w:bookmarkStart w:id="74" w:name="xdx_90D_eus-gaap--PreferredStockSharesAu"/>
            <w:bookmarkStart w:id="75" w:name="xdx_90B_eus-gaap--PreferredStockSharesAu"/>
            <w:bookmarkEnd w:id="74"/>
            <w:bookmarkEnd w:id="75"/>
            <w:r>
              <w:rPr/>
              <w:t xml:space="preserve">130,000,000 total shares authorized inclusive of all series of preferred; </w:t>
            </w:r>
            <w:bookmarkStart w:id="76" w:name="xdx_902_eus-gaap--PreferredStockSharesOu"/>
            <w:bookmarkStart w:id="77" w:name="xdx_90E_eus-gaap--PreferredStockSharesOu"/>
            <w:bookmarkStart w:id="78" w:name="xdx_909_eus-gaap--PreferredStockSharesIs"/>
            <w:bookmarkStart w:id="79" w:name="xdx_90A_eus-gaap--PreferredStockSharesIs"/>
            <w:bookmarkEnd w:id="76"/>
            <w:bookmarkEnd w:id="77"/>
            <w:bookmarkEnd w:id="78"/>
            <w:bookmarkEnd w:id="79"/>
            <w:r>
              <w:rPr/>
              <w:t>50 shares issued and outstanding as of September 30, 2025 and December 31, 2024.</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0" w:name="xdx_406_eus-gaap--PreferredStockValue_i0"/>
            <w:bookmarkEnd w:id="80"/>
          </w:p>
        </w:tc>
      </w:tr>
      <w:tr>
        <w:trPr/>
        <w:tc>
          <w:tcPr>
            <w:tcW w:w="7458" w:type="dxa"/>
            <w:tcBorders/>
            <w:shd w:fill="CCEEFF" w:val="clear"/>
            <w:vAlign w:val="center"/>
          </w:tcPr>
          <w:p>
            <w:pPr>
              <w:pStyle w:val="TableContents"/>
              <w:bidi w:val="0"/>
              <w:spacing w:before="0" w:after="283"/>
              <w:jc w:val="left"/>
              <w:rPr/>
            </w:pPr>
            <w:r>
              <w:rPr/>
              <w:t>Convertible preferred stock Series D, $</w:t>
            </w:r>
            <w:bookmarkStart w:id="81" w:name="xdx_909_eus-gaap--PreferredStockParOrSta"/>
            <w:bookmarkStart w:id="82" w:name="xdx_905_eus-gaap--PreferredStockParOrSta"/>
            <w:bookmarkEnd w:id="81"/>
            <w:bookmarkEnd w:id="82"/>
            <w:r>
              <w:rPr/>
              <w:t xml:space="preserve">0.01 par value, </w:t>
            </w:r>
            <w:bookmarkStart w:id="83" w:name="xdx_900_eus-gaap--PreferredStockSharesAu"/>
            <w:bookmarkStart w:id="84" w:name="xdx_909_eus-gaap--PreferredStockSharesAu"/>
            <w:bookmarkEnd w:id="83"/>
            <w:bookmarkEnd w:id="84"/>
            <w:r>
              <w:rPr/>
              <w:t xml:space="preserve">130,000,000 total shares authorized inclusive of all series of preferred; </w:t>
            </w:r>
            <w:bookmarkStart w:id="85" w:name="xdx_905_eus-gaap--PreferredStockSharesOu"/>
            <w:bookmarkStart w:id="86" w:name="xdx_901_eus-gaap--PreferredStockSharesOu"/>
            <w:bookmarkStart w:id="87" w:name="xdx_90E_eus-gaap--PreferredStockSharesIs"/>
            <w:bookmarkStart w:id="88" w:name="xdx_907_eus-gaap--PreferredStockSharesIs"/>
            <w:bookmarkEnd w:id="85"/>
            <w:bookmarkEnd w:id="86"/>
            <w:bookmarkEnd w:id="87"/>
            <w:bookmarkEnd w:id="88"/>
            <w:r>
              <w:rPr/>
              <w:t>180 shares issued and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89" w:name="xdx_40C_eus-gaap--PreferredStockValue_i0"/>
            <w:bookmarkEnd w:id="89"/>
          </w:p>
        </w:tc>
      </w:tr>
      <w:tr>
        <w:trPr/>
        <w:tc>
          <w:tcPr>
            <w:tcW w:w="7458" w:type="dxa"/>
            <w:tcBorders/>
            <w:shd w:fill="CCEEFF" w:val="clear"/>
            <w:vAlign w:val="center"/>
          </w:tcPr>
          <w:p>
            <w:pPr>
              <w:pStyle w:val="TableContents"/>
              <w:bidi w:val="0"/>
              <w:spacing w:before="0" w:after="283"/>
              <w:jc w:val="left"/>
              <w:rPr/>
            </w:pPr>
            <w:r>
              <w:rPr/>
              <w:t>Convertible preferred stock, value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0" w:name="xdx_405_eus-gaap--CommonStockValue_i02I_"/>
            <w:bookmarkEnd w:id="90"/>
          </w:p>
        </w:tc>
      </w:tr>
      <w:tr>
        <w:trPr/>
        <w:tc>
          <w:tcPr>
            <w:tcW w:w="7458" w:type="dxa"/>
            <w:tcBorders/>
            <w:shd w:fill="CCEEFF" w:val="clear"/>
            <w:vAlign w:val="center"/>
          </w:tcPr>
          <w:p>
            <w:pPr>
              <w:pStyle w:val="TableContents"/>
              <w:bidi w:val="0"/>
              <w:spacing w:before="0" w:after="283"/>
              <w:jc w:val="left"/>
              <w:rPr/>
            </w:pPr>
            <w:r>
              <w:rPr/>
              <w:t>Common stock, $</w:t>
            </w:r>
            <w:bookmarkStart w:id="91" w:name="xdx_907_eus-gaap--CommonStockParOrStated"/>
            <w:bookmarkStart w:id="92" w:name="xdx_904_eus-gaap--CommonStockParOrStated"/>
            <w:bookmarkEnd w:id="91"/>
            <w:bookmarkEnd w:id="92"/>
            <w:r>
              <w:rPr/>
              <w:t xml:space="preserve">0.01 par value, </w:t>
            </w:r>
            <w:bookmarkStart w:id="93" w:name="xdx_904_eus-gaap--CommonStockSharesAutho"/>
            <w:bookmarkStart w:id="94" w:name="xdx_905_eus-gaap--CommonStockSharesAutho"/>
            <w:bookmarkEnd w:id="93"/>
            <w:bookmarkEnd w:id="94"/>
            <w:r>
              <w:rPr/>
              <w:t xml:space="preserve">250,000,000 shares authorized; </w:t>
            </w:r>
            <w:bookmarkStart w:id="95" w:name="xdx_909_eus-gaap--CommonStockSharesIssue"/>
            <w:bookmarkEnd w:id="95"/>
            <w:r>
              <w:rPr/>
              <w:t xml:space="preserve">3,666,280 and </w:t>
            </w:r>
            <w:bookmarkStart w:id="96" w:name="xdx_900_eus-gaap--CommonStockSharesIssue"/>
            <w:bookmarkEnd w:id="96"/>
            <w:r>
              <w:rPr/>
              <w:t xml:space="preserve">1,342,853 shares issued and </w:t>
            </w:r>
            <w:bookmarkStart w:id="97" w:name="xdx_909_eus-gaap--CommonStockSharesOutst"/>
            <w:bookmarkEnd w:id="97"/>
            <w:r>
              <w:rPr/>
              <w:t xml:space="preserve">3,615,856 and </w:t>
            </w:r>
            <w:bookmarkStart w:id="98" w:name="xdx_900_eus-gaap--CommonStockSharesOutst"/>
            <w:bookmarkEnd w:id="98"/>
            <w:r>
              <w:rPr/>
              <w:t>1,342,853 outstanding as of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13</w:t>
            </w:r>
          </w:p>
        </w:tc>
        <w:tc>
          <w:tcPr>
            <w:tcW w:w="112" w:type="dxa"/>
            <w:tcBorders/>
            <w:shd w:fill="CCEEFF" w:val="clear"/>
            <w:vAlign w:val="center"/>
          </w:tcPr>
          <w:p>
            <w:pPr>
              <w:pStyle w:val="TableContents"/>
              <w:bidi w:val="0"/>
              <w:spacing w:before="0" w:after="283"/>
              <w:jc w:val="left"/>
              <w:rPr/>
            </w:pPr>
            <w:r>
              <w:rPr/>
              <w:t> </w:t>
            </w:r>
            <w:bookmarkStart w:id="99" w:name="xdx_40E_eus-gaap--TreasuryStockValue_i02"/>
            <w:bookmarkEnd w:id="99"/>
          </w:p>
        </w:tc>
      </w:tr>
      <w:tr>
        <w:trPr/>
        <w:tc>
          <w:tcPr>
            <w:tcW w:w="7458" w:type="dxa"/>
            <w:tcBorders/>
            <w:shd w:fill="FFFFFF" w:val="clear"/>
            <w:vAlign w:val="center"/>
          </w:tcPr>
          <w:p>
            <w:pPr>
              <w:pStyle w:val="TableContents"/>
              <w:bidi w:val="0"/>
              <w:spacing w:before="0" w:after="283"/>
              <w:jc w:val="left"/>
              <w:rPr/>
            </w:pPr>
            <w:r>
              <w:rPr/>
              <w:t xml:space="preserve">Treasury Stock, </w:t>
            </w:r>
            <w:bookmarkStart w:id="100" w:name="xdx_90F_eus-gaap--TreasuryStockCommonSha"/>
            <w:bookmarkEnd w:id="100"/>
            <w:r>
              <w:rPr/>
              <w:t>50,424 shares as of September 30, 2025</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01" w:name="xdx_400_eus-gaap--AdditionalPaidInCapita"/>
            <w:bookmarkEnd w:id="101"/>
          </w:p>
        </w:tc>
      </w:tr>
      <w:tr>
        <w:trPr/>
        <w:tc>
          <w:tcPr>
            <w:tcW w:w="745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294,052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285,619</w:t>
            </w:r>
          </w:p>
        </w:tc>
        <w:tc>
          <w:tcPr>
            <w:tcW w:w="112" w:type="dxa"/>
            <w:tcBorders/>
            <w:shd w:fill="CCEEFF" w:val="clear"/>
            <w:vAlign w:val="center"/>
          </w:tcPr>
          <w:p>
            <w:pPr>
              <w:pStyle w:val="TableContents"/>
              <w:bidi w:val="0"/>
              <w:spacing w:before="0" w:after="283"/>
              <w:jc w:val="left"/>
              <w:rPr/>
            </w:pPr>
            <w:r>
              <w:rPr/>
              <w:t> </w:t>
            </w:r>
            <w:bookmarkStart w:id="102" w:name="xdx_40D_eus-gaap--RetainedEarningsAccumu"/>
            <w:bookmarkEnd w:id="102"/>
          </w:p>
        </w:tc>
      </w:tr>
      <w:tr>
        <w:trPr/>
        <w:tc>
          <w:tcPr>
            <w:tcW w:w="745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(289,887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(281,738</w:t>
            </w:r>
          </w:p>
        </w:tc>
        <w:tc>
          <w:tcPr>
            <w:tcW w:w="112" w:type="dxa"/>
            <w:tcBorders/>
            <w:shd w:fill="FFFFFF" w:val="clear"/>
            <w:vAlign w:val="center"/>
          </w:tcPr>
          <w:p>
            <w:pPr>
              <w:pStyle w:val="TableContents"/>
              <w:bidi w:val="0"/>
              <w:spacing w:before="0" w:after="283"/>
              <w:jc w:val="left"/>
              <w:rPr/>
            </w:pPr>
            <w:r>
              <w:rPr/>
              <w:t>)</w:t>
            </w:r>
            <w:bookmarkStart w:id="103" w:name="xdx_40E_eus-gaap--StockholdersEquity_i02"/>
            <w:bookmarkEnd w:id="103"/>
          </w:p>
        </w:tc>
      </w:tr>
      <w:tr>
        <w:trPr/>
        <w:tc>
          <w:tcPr>
            <w:tcW w:w="7458"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4,068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3,894</w:t>
            </w:r>
          </w:p>
        </w:tc>
        <w:tc>
          <w:tcPr>
            <w:tcW w:w="112" w:type="dxa"/>
            <w:tcBorders/>
            <w:shd w:fill="CCEEFF" w:val="clear"/>
            <w:vAlign w:val="center"/>
          </w:tcPr>
          <w:p>
            <w:pPr>
              <w:pStyle w:val="TableContents"/>
              <w:bidi w:val="0"/>
              <w:spacing w:before="0" w:after="283"/>
              <w:jc w:val="left"/>
              <w:rPr/>
            </w:pPr>
            <w:r>
              <w:rPr/>
              <w:t> </w:t>
            </w:r>
            <w:bookmarkStart w:id="104" w:name="xdx_402_eus-gaap--LiabilitiesAndStockhol"/>
            <w:bookmarkEnd w:id="104"/>
          </w:p>
        </w:tc>
      </w:tr>
      <w:tr>
        <w:trPr/>
        <w:tc>
          <w:tcPr>
            <w:tcW w:w="7458"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pPr>
            <w:r>
              <w:rPr/>
              <w:t>11,364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9,413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condensed consolidated balance sheet as of December 31, 2024, has been prepared using information from the audited consolidated balance sheet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_002"/>
      <w:bookmarkEnd w:id="105"/>
      <w:r>
        <w:rPr>
          <w:rFonts w:ascii="Times New Roman;Times;Serif" w:hAnsi="Times New Roman;Times;Serif"/>
          <w:b/>
          <w:i w:val="false"/>
          <w:caps w:val="false"/>
          <w:smallCaps w:val="false"/>
          <w:sz w:val="20"/>
        </w:rPr>
        <w:t>Condensed Consolidated Statements of Operations -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A_113_pn3n3_zCTXOk7Uh082"/>
      <w:bookmarkStart w:id="107" w:name="xdx_30A_113_pn3n3_zCTXOk7Uh082"/>
      <w:bookmarkEnd w:id="107"/>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9C_20250701__20250930_zJixaT3iYQMb"/>
            <w:bookmarkEnd w:id="10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3_20240701__20240930_zp9rWNQFgQWb"/>
            <w:bookmarkEnd w:id="109"/>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E_20250101__20250930_z1tAerakjy4j"/>
            <w:bookmarkEnd w:id="11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E_20240101__20240930_zqaxJGa1KoKi"/>
            <w:bookmarkEnd w:id="111"/>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12" w:name="xdx_405_eus-gaap--RevenueFromContractWit"/>
            <w:bookmarkEnd w:id="112"/>
          </w:p>
        </w:tc>
      </w:tr>
      <w:tr>
        <w:trPr/>
        <w:tc>
          <w:tcPr>
            <w:tcW w:w="5450" w:type="dxa"/>
            <w:tcBorders/>
            <w:shd w:fill="CCEEFF" w:val="clear"/>
            <w:vAlign w:val="center"/>
          </w:tcPr>
          <w:p>
            <w:pPr>
              <w:pStyle w:val="TableContents"/>
              <w:bidi w:val="0"/>
              <w:spacing w:before="0" w:after="283"/>
              <w:jc w:val="left"/>
              <w:rPr/>
            </w:pPr>
            <w:r>
              <w:rPr/>
              <w:t>Product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1,054</w:t>
            </w:r>
          </w:p>
        </w:tc>
        <w:tc>
          <w:tcPr>
            <w:tcW w:w="110" w:type="dxa"/>
            <w:tcBorders/>
            <w:shd w:fill="CCEEFF" w:val="clear"/>
            <w:vAlign w:val="center"/>
          </w:tcPr>
          <w:p>
            <w:pPr>
              <w:pStyle w:val="TableContents"/>
              <w:bidi w:val="0"/>
              <w:spacing w:before="0" w:after="283"/>
              <w:jc w:val="left"/>
              <w:rPr/>
            </w:pPr>
            <w:r>
              <w:rPr/>
              <w:t> </w:t>
            </w:r>
            <w:bookmarkStart w:id="113" w:name="xdx_409_eus-gaap--RevenueFromContractWit"/>
            <w:bookmarkEnd w:id="113"/>
          </w:p>
        </w:tc>
      </w:tr>
      <w:tr>
        <w:trPr/>
        <w:tc>
          <w:tcPr>
            <w:tcW w:w="5450" w:type="dxa"/>
            <w:tcBorders/>
            <w:shd w:fill="FFFFFF" w:val="clear"/>
            <w:vAlign w:val="center"/>
          </w:tcPr>
          <w:p>
            <w:pPr>
              <w:pStyle w:val="TableContents"/>
              <w:bidi w:val="0"/>
              <w:spacing w:before="0" w:after="283"/>
              <w:jc w:val="left"/>
              <w:rPr/>
            </w:pPr>
            <w:r>
              <w:rPr/>
              <w:t>Grant and contract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1,291</w:t>
            </w:r>
          </w:p>
        </w:tc>
        <w:tc>
          <w:tcPr>
            <w:tcW w:w="110" w:type="dxa"/>
            <w:tcBorders/>
            <w:shd w:fill="FFFFFF" w:val="clear"/>
            <w:vAlign w:val="center"/>
          </w:tcPr>
          <w:p>
            <w:pPr>
              <w:pStyle w:val="TableContents"/>
              <w:bidi w:val="0"/>
              <w:spacing w:before="0" w:after="283"/>
              <w:jc w:val="left"/>
              <w:rPr/>
            </w:pPr>
            <w:r>
              <w:rPr/>
              <w:t> </w:t>
            </w:r>
            <w:bookmarkStart w:id="114" w:name="xdx_405_eus-gaap--RevenueFromContractWit"/>
            <w:bookmarkEnd w:id="114"/>
          </w:p>
        </w:tc>
      </w:tr>
      <w:tr>
        <w:trPr/>
        <w:tc>
          <w:tcPr>
            <w:tcW w:w="545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2,345</w:t>
            </w:r>
          </w:p>
        </w:tc>
        <w:tc>
          <w:tcPr>
            <w:tcW w:w="110" w:type="dxa"/>
            <w:tcBorders/>
            <w:shd w:fill="CCEEFF" w:val="clear"/>
            <w:vAlign w:val="center"/>
          </w:tcPr>
          <w:p>
            <w:pPr>
              <w:pStyle w:val="TableContents"/>
              <w:bidi w:val="0"/>
              <w:spacing w:before="0" w:after="283"/>
              <w:jc w:val="left"/>
              <w:rPr/>
            </w:pPr>
            <w:r>
              <w:rPr/>
              <w:t> </w:t>
            </w:r>
            <w:bookmarkStart w:id="115" w:name="xdx_402_eus-gaap--CostOfRevenue_msCzUvG_"/>
            <w:bookmarkEnd w:id="115"/>
          </w:p>
        </w:tc>
      </w:tr>
      <w:tr>
        <w:trPr/>
        <w:tc>
          <w:tcPr>
            <w:tcW w:w="5450" w:type="dxa"/>
            <w:tcBorders/>
            <w:shd w:fill="FFFFFF" w:val="clear"/>
            <w:vAlign w:val="center"/>
          </w:tcPr>
          <w:p>
            <w:pPr>
              <w:pStyle w:val="TableContents"/>
              <w:bidi w:val="0"/>
              <w:spacing w:before="0" w:after="283"/>
              <w:jc w:val="left"/>
              <w:rPr/>
            </w:pPr>
            <w:r>
              <w:rPr/>
              <w:t>Costs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657</w:t>
            </w:r>
          </w:p>
        </w:tc>
        <w:tc>
          <w:tcPr>
            <w:tcW w:w="110" w:type="dxa"/>
            <w:tcBorders/>
            <w:shd w:fill="FFFFFF" w:val="clear"/>
            <w:vAlign w:val="center"/>
          </w:tcPr>
          <w:p>
            <w:pPr>
              <w:pStyle w:val="TableContents"/>
              <w:bidi w:val="0"/>
              <w:spacing w:before="0" w:after="283"/>
              <w:jc w:val="left"/>
              <w:rPr/>
            </w:pPr>
            <w:r>
              <w:rPr/>
              <w:t> </w:t>
            </w:r>
            <w:bookmarkStart w:id="116" w:name="xdx_409_eus-gaap--GrossProfit_iT_mtCzUvG"/>
            <w:bookmarkEnd w:id="116"/>
          </w:p>
        </w:tc>
      </w:tr>
      <w:tr>
        <w:trPr/>
        <w:tc>
          <w:tcPr>
            <w:tcW w:w="545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1,688</w:t>
            </w:r>
          </w:p>
        </w:tc>
        <w:tc>
          <w:tcPr>
            <w:tcW w:w="110" w:type="dxa"/>
            <w:tcBorders/>
            <w:shd w:fill="CCEEFF" w:val="clear"/>
            <w:vAlign w:val="center"/>
          </w:tcPr>
          <w:p>
            <w:pPr>
              <w:pStyle w:val="TableContents"/>
              <w:bidi w:val="0"/>
              <w:spacing w:before="0" w:after="283"/>
              <w:jc w:val="left"/>
              <w:rPr/>
            </w:pPr>
            <w:r>
              <w:rPr/>
              <w:t> </w:t>
            </w:r>
            <w:bookmarkStart w:id="117" w:name="xdx_40B_eus-gaap--OperatingExpensesAbstr"/>
            <w:bookmarkEnd w:id="117"/>
          </w:p>
        </w:tc>
      </w:tr>
      <w:tr>
        <w:trPr/>
        <w:tc>
          <w:tcPr>
            <w:tcW w:w="54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C_eus-gaap--ResearchAndDevelopment"/>
            <w:bookmarkEnd w:id="118"/>
          </w:p>
        </w:tc>
      </w:tr>
      <w:tr>
        <w:trPr/>
        <w:tc>
          <w:tcPr>
            <w:tcW w:w="54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4,492</w:t>
            </w:r>
          </w:p>
        </w:tc>
        <w:tc>
          <w:tcPr>
            <w:tcW w:w="110" w:type="dxa"/>
            <w:tcBorders/>
            <w:shd w:fill="CCEEFF" w:val="clear"/>
            <w:vAlign w:val="center"/>
          </w:tcPr>
          <w:p>
            <w:pPr>
              <w:pStyle w:val="TableContents"/>
              <w:bidi w:val="0"/>
              <w:spacing w:before="0" w:after="283"/>
              <w:jc w:val="left"/>
              <w:rPr/>
            </w:pPr>
            <w:r>
              <w:rPr/>
              <w:t> </w:t>
            </w:r>
            <w:bookmarkStart w:id="119" w:name="xdx_40E_eus-gaap--GeneralAndAdministrati"/>
            <w:bookmarkEnd w:id="119"/>
          </w:p>
        </w:tc>
      </w:tr>
      <w:tr>
        <w:trPr/>
        <w:tc>
          <w:tcPr>
            <w:tcW w:w="545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2,997</w:t>
            </w:r>
          </w:p>
        </w:tc>
        <w:tc>
          <w:tcPr>
            <w:tcW w:w="110" w:type="dxa"/>
            <w:tcBorders/>
            <w:shd w:fill="FFFFFF" w:val="clear"/>
            <w:vAlign w:val="center"/>
          </w:tcPr>
          <w:p>
            <w:pPr>
              <w:pStyle w:val="TableContents"/>
              <w:bidi w:val="0"/>
              <w:spacing w:before="0" w:after="283"/>
              <w:jc w:val="left"/>
              <w:rPr/>
            </w:pPr>
            <w:r>
              <w:rPr/>
              <w:t> </w:t>
            </w:r>
            <w:bookmarkStart w:id="120" w:name="xdx_40A_eus-gaap--SellingAndMarketingExp"/>
            <w:bookmarkEnd w:id="120"/>
          </w:p>
        </w:tc>
      </w:tr>
      <w:tr>
        <w:trPr/>
        <w:tc>
          <w:tcPr>
            <w:tcW w:w="545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589</w:t>
            </w:r>
          </w:p>
        </w:tc>
        <w:tc>
          <w:tcPr>
            <w:tcW w:w="110" w:type="dxa"/>
            <w:tcBorders/>
            <w:shd w:fill="CCEEFF" w:val="clear"/>
            <w:vAlign w:val="center"/>
          </w:tcPr>
          <w:p>
            <w:pPr>
              <w:pStyle w:val="TableContents"/>
              <w:bidi w:val="0"/>
              <w:spacing w:before="0" w:after="283"/>
              <w:jc w:val="left"/>
              <w:rPr/>
            </w:pPr>
            <w:r>
              <w:rPr/>
              <w:t> </w:t>
            </w:r>
            <w:bookmarkStart w:id="121" w:name="xdx_402_ecustom--ArmorExitCosts_i01_maCz"/>
            <w:bookmarkEnd w:id="121"/>
          </w:p>
        </w:tc>
      </w:tr>
      <w:tr>
        <w:trPr/>
        <w:tc>
          <w:tcPr>
            <w:tcW w:w="5450" w:type="dxa"/>
            <w:tcBorders/>
            <w:shd w:fill="FFFFFF" w:val="clear"/>
            <w:vAlign w:val="center"/>
          </w:tcPr>
          <w:p>
            <w:pPr>
              <w:pStyle w:val="TableContents"/>
              <w:bidi w:val="0"/>
              <w:spacing w:before="0" w:after="283"/>
              <w:jc w:val="left"/>
              <w:rPr/>
            </w:pPr>
            <w:r>
              <w:rPr/>
              <w:t>Armor exit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4,457</w:t>
            </w:r>
          </w:p>
        </w:tc>
        <w:tc>
          <w:tcPr>
            <w:tcW w:w="110" w:type="dxa"/>
            <w:tcBorders/>
            <w:shd w:fill="FFFFFF" w:val="clear"/>
            <w:vAlign w:val="center"/>
          </w:tcPr>
          <w:p>
            <w:pPr>
              <w:pStyle w:val="TableContents"/>
              <w:bidi w:val="0"/>
              <w:spacing w:before="0" w:after="283"/>
              <w:jc w:val="left"/>
              <w:rPr/>
            </w:pPr>
            <w:r>
              <w:rPr/>
              <w:t> </w:t>
            </w:r>
            <w:bookmarkStart w:id="122" w:name="xdx_401_ecustom--ReductionInForce_i01_ma"/>
            <w:bookmarkEnd w:id="122"/>
          </w:p>
        </w:tc>
      </w:tr>
      <w:tr>
        <w:trPr/>
        <w:tc>
          <w:tcPr>
            <w:tcW w:w="5450" w:type="dxa"/>
            <w:tcBorders/>
            <w:shd w:fill="CCEEFF" w:val="clear"/>
            <w:vAlign w:val="center"/>
          </w:tcPr>
          <w:p>
            <w:pPr>
              <w:pStyle w:val="TableContents"/>
              <w:bidi w:val="0"/>
              <w:spacing w:before="0" w:after="283"/>
              <w:jc w:val="left"/>
              <w:rPr/>
            </w:pPr>
            <w:r>
              <w:rPr/>
              <w:t>Reduction in force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bookmarkStart w:id="123" w:name="xdx_405_ecustom--GrantExpenses_i01_maCz7"/>
            <w:bookmarkEnd w:id="123"/>
          </w:p>
        </w:tc>
      </w:tr>
      <w:tr>
        <w:trPr/>
        <w:tc>
          <w:tcPr>
            <w:tcW w:w="5450" w:type="dxa"/>
            <w:tcBorders/>
            <w:shd w:fill="FFFFFF" w:val="clear"/>
            <w:vAlign w:val="center"/>
          </w:tcPr>
          <w:p>
            <w:pPr>
              <w:pStyle w:val="TableContents"/>
              <w:bidi w:val="0"/>
              <w:spacing w:before="0" w:after="283"/>
              <w:jc w:val="left"/>
              <w:rPr/>
            </w:pPr>
            <w:r>
              <w:rPr/>
              <w:t>Grant and contract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1,061</w:t>
            </w:r>
          </w:p>
        </w:tc>
        <w:tc>
          <w:tcPr>
            <w:tcW w:w="110" w:type="dxa"/>
            <w:tcBorders/>
            <w:shd w:fill="FFFFFF" w:val="clear"/>
            <w:vAlign w:val="center"/>
          </w:tcPr>
          <w:p>
            <w:pPr>
              <w:pStyle w:val="TableContents"/>
              <w:bidi w:val="0"/>
              <w:spacing w:before="0" w:after="283"/>
              <w:jc w:val="left"/>
              <w:rPr/>
            </w:pPr>
            <w:r>
              <w:rPr/>
              <w:t> </w:t>
            </w:r>
            <w:bookmarkStart w:id="124" w:name="xdx_40D_eus-gaap--OperatingExpenses_i01T"/>
            <w:bookmarkEnd w:id="124"/>
          </w:p>
        </w:tc>
      </w:tr>
      <w:tr>
        <w:trPr/>
        <w:tc>
          <w:tcPr>
            <w:tcW w:w="545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14,003</w:t>
            </w:r>
          </w:p>
        </w:tc>
        <w:tc>
          <w:tcPr>
            <w:tcW w:w="110" w:type="dxa"/>
            <w:tcBorders/>
            <w:shd w:fill="CCEEFF" w:val="clear"/>
            <w:vAlign w:val="center"/>
          </w:tcPr>
          <w:p>
            <w:pPr>
              <w:pStyle w:val="TableContents"/>
              <w:bidi w:val="0"/>
              <w:spacing w:before="0" w:after="283"/>
              <w:jc w:val="left"/>
              <w:rPr/>
            </w:pPr>
            <w:r>
              <w:rPr/>
              <w:t> </w:t>
            </w:r>
            <w:bookmarkStart w:id="125" w:name="xdx_40B_eus-gaap--OperatingIncomeLoss_iT"/>
            <w:bookmarkEnd w:id="125"/>
          </w:p>
        </w:tc>
      </w:tr>
      <w:tr>
        <w:trPr/>
        <w:tc>
          <w:tcPr>
            <w:tcW w:w="545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(12,315</w:t>
            </w:r>
          </w:p>
        </w:tc>
        <w:tc>
          <w:tcPr>
            <w:tcW w:w="110" w:type="dxa"/>
            <w:tcBorders/>
            <w:shd w:fill="FFFFFF" w:val="clear"/>
            <w:vAlign w:val="center"/>
          </w:tcPr>
          <w:p>
            <w:pPr>
              <w:pStyle w:val="TableContents"/>
              <w:bidi w:val="0"/>
              <w:spacing w:before="0" w:after="283"/>
              <w:jc w:val="left"/>
              <w:rPr/>
            </w:pPr>
            <w:r>
              <w:rPr/>
              <w:t>)</w:t>
            </w:r>
            <w:bookmarkStart w:id="126" w:name="xdx_409_eus-gaap--NonoperatingIncomeExpe"/>
            <w:bookmarkEnd w:id="126"/>
          </w:p>
        </w:tc>
      </w:tr>
      <w:tr>
        <w:trPr/>
        <w:tc>
          <w:tcPr>
            <w:tcW w:w="5450"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7" w:name="xdx_40D_eus-gaap--InterestExpenseOther_i"/>
            <w:bookmarkEnd w:id="127"/>
          </w:p>
        </w:tc>
      </w:tr>
      <w:tr>
        <w:trPr/>
        <w:tc>
          <w:tcPr>
            <w:tcW w:w="54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bookmarkStart w:id="128" w:name="xdx_401_eus-gaap--InterestIncomeOther_i0"/>
            <w:bookmarkEnd w:id="128"/>
          </w:p>
        </w:tc>
      </w:tr>
      <w:tr>
        <w:trPr/>
        <w:tc>
          <w:tcPr>
            <w:tcW w:w="54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bookmarkStart w:id="129" w:name="xdx_40C_eus-gaap--GainLossOnDispositionO"/>
            <w:bookmarkEnd w:id="129"/>
          </w:p>
        </w:tc>
      </w:tr>
      <w:tr>
        <w:trPr/>
        <w:tc>
          <w:tcPr>
            <w:tcW w:w="5450" w:type="dxa"/>
            <w:tcBorders/>
            <w:shd w:fill="FFFFFF" w:val="clear"/>
            <w:vAlign w:val="center"/>
          </w:tcPr>
          <w:p>
            <w:pPr>
              <w:pStyle w:val="TableContents"/>
              <w:bidi w:val="0"/>
              <w:spacing w:before="0" w:after="283"/>
              <w:jc w:val="left"/>
              <w:rPr/>
            </w:pPr>
            <w:r>
              <w:rPr/>
              <w:t>Gain (loss) on disposal of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w:t>
            </w:r>
            <w:bookmarkStart w:id="130" w:name="xdx_40E_ecustom--ChangeInFairValueOfDeri"/>
            <w:bookmarkEnd w:id="130"/>
          </w:p>
        </w:tc>
      </w:tr>
      <w:tr>
        <w:trPr/>
        <w:tc>
          <w:tcPr>
            <w:tcW w:w="545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3,459</w:t>
            </w:r>
          </w:p>
        </w:tc>
        <w:tc>
          <w:tcPr>
            <w:tcW w:w="110" w:type="dxa"/>
            <w:tcBorders/>
            <w:shd w:fill="CCEEFF" w:val="clear"/>
            <w:vAlign w:val="center"/>
          </w:tcPr>
          <w:p>
            <w:pPr>
              <w:pStyle w:val="TableContents"/>
              <w:bidi w:val="0"/>
              <w:spacing w:before="0" w:after="283"/>
              <w:jc w:val="left"/>
              <w:rPr/>
            </w:pPr>
            <w:r>
              <w:rPr/>
              <w:t> </w:t>
            </w:r>
            <w:bookmarkStart w:id="131" w:name="xdx_402_ecustom--OfferingCostsAssociated"/>
            <w:bookmarkEnd w:id="131"/>
          </w:p>
        </w:tc>
      </w:tr>
      <w:tr>
        <w:trPr/>
        <w:tc>
          <w:tcPr>
            <w:tcW w:w="5450" w:type="dxa"/>
            <w:tcBorders/>
            <w:shd w:fill="FFFFFF" w:val="clear"/>
            <w:vAlign w:val="center"/>
          </w:tcPr>
          <w:p>
            <w:pPr>
              <w:pStyle w:val="TableContents"/>
              <w:bidi w:val="0"/>
              <w:spacing w:before="0" w:after="283"/>
              <w:jc w:val="left"/>
              <w:rPr/>
            </w:pPr>
            <w:r>
              <w:rPr/>
              <w:t>Offering costs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(550</w:t>
            </w:r>
          </w:p>
        </w:tc>
        <w:tc>
          <w:tcPr>
            <w:tcW w:w="110" w:type="dxa"/>
            <w:tcBorders/>
            <w:shd w:fill="FFFFFF" w:val="clear"/>
            <w:vAlign w:val="center"/>
          </w:tcPr>
          <w:p>
            <w:pPr>
              <w:pStyle w:val="TableContents"/>
              <w:bidi w:val="0"/>
              <w:spacing w:before="0" w:after="283"/>
              <w:jc w:val="left"/>
              <w:rPr/>
            </w:pPr>
            <w:r>
              <w:rPr/>
              <w:t>)</w:t>
            </w:r>
            <w:bookmarkStart w:id="132" w:name="xdx_407_eus-gaap--OtherNonoperatingIncom"/>
            <w:bookmarkEnd w:id="132"/>
          </w:p>
        </w:tc>
      </w:tr>
      <w:tr>
        <w:trPr/>
        <w:tc>
          <w:tcPr>
            <w:tcW w:w="54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 </w:t>
            </w:r>
            <w:bookmarkStart w:id="133" w:name="xdx_401_eus-gaap--NonoperatingIncomeExpe"/>
            <w:bookmarkEnd w:id="133"/>
          </w:p>
        </w:tc>
      </w:tr>
      <w:tr>
        <w:trPr/>
        <w:tc>
          <w:tcPr>
            <w:tcW w:w="545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2,986</w:t>
            </w:r>
          </w:p>
        </w:tc>
        <w:tc>
          <w:tcPr>
            <w:tcW w:w="110" w:type="dxa"/>
            <w:tcBorders/>
            <w:shd w:fill="FFFFFF" w:val="clear"/>
            <w:vAlign w:val="center"/>
          </w:tcPr>
          <w:p>
            <w:pPr>
              <w:pStyle w:val="TableContents"/>
              <w:bidi w:val="0"/>
              <w:spacing w:before="0" w:after="283"/>
              <w:jc w:val="left"/>
              <w:rPr/>
            </w:pPr>
            <w:r>
              <w:rPr/>
              <w:t> </w:t>
            </w:r>
            <w:bookmarkStart w:id="134" w:name="xdx_408_eus-gaap--IncomeLossFromContinui"/>
            <w:bookmarkEnd w:id="134"/>
          </w:p>
        </w:tc>
      </w:tr>
      <w:tr>
        <w:trPr/>
        <w:tc>
          <w:tcPr>
            <w:tcW w:w="545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(9,329</w:t>
            </w:r>
          </w:p>
        </w:tc>
        <w:tc>
          <w:tcPr>
            <w:tcW w:w="110" w:type="dxa"/>
            <w:tcBorders/>
            <w:shd w:fill="CCEEFF" w:val="clear"/>
            <w:vAlign w:val="center"/>
          </w:tcPr>
          <w:p>
            <w:pPr>
              <w:pStyle w:val="TableContents"/>
              <w:bidi w:val="0"/>
              <w:spacing w:before="0" w:after="283"/>
              <w:jc w:val="left"/>
              <w:rPr/>
            </w:pPr>
            <w:r>
              <w:rPr/>
              <w:t>)</w:t>
            </w:r>
            <w:bookmarkStart w:id="135" w:name="xdx_401_eus-gaap--IncomeTaxExpenseBenefi"/>
            <w:bookmarkEnd w:id="135"/>
          </w:p>
        </w:tc>
      </w:tr>
      <w:tr>
        <w:trPr/>
        <w:tc>
          <w:tcPr>
            <w:tcW w:w="545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6" w:name="xdx_40C_eus-gaap--NetIncomeLoss_iT_mtCzr"/>
            <w:bookmarkEnd w:id="136"/>
          </w:p>
        </w:tc>
      </w:tr>
      <w:tr>
        <w:trPr/>
        <w:tc>
          <w:tcPr>
            <w:tcW w:w="54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(9,329</w:t>
            </w:r>
          </w:p>
        </w:tc>
        <w:tc>
          <w:tcPr>
            <w:tcW w:w="110" w:type="dxa"/>
            <w:tcBorders/>
            <w:shd w:fill="CCEEFF" w:val="clear"/>
            <w:vAlign w:val="center"/>
          </w:tcPr>
          <w:p>
            <w:pPr>
              <w:pStyle w:val="TableContents"/>
              <w:bidi w:val="0"/>
              <w:spacing w:before="0" w:after="283"/>
              <w:jc w:val="left"/>
              <w:rPr/>
            </w:pPr>
            <w:r>
              <w:rPr/>
              <w:t>)</w:t>
            </w:r>
            <w:bookmarkStart w:id="137" w:name="xdx_407_ecustom--DeemedDividendRelatedTo"/>
            <w:bookmarkEnd w:id="137"/>
          </w:p>
        </w:tc>
      </w:tr>
      <w:tr>
        <w:trPr/>
        <w:tc>
          <w:tcPr>
            <w:tcW w:w="5450" w:type="dxa"/>
            <w:tcBorders/>
            <w:shd w:fill="FFFFFF" w:val="clear"/>
            <w:vAlign w:val="center"/>
          </w:tcPr>
          <w:p>
            <w:pPr>
              <w:pStyle w:val="TableContents"/>
              <w:bidi w:val="0"/>
              <w:spacing w:before="0" w:after="283"/>
              <w:jc w:val="left"/>
              <w:rPr/>
            </w:pPr>
            <w:r>
              <w:rPr/>
              <w:t>Deemed dividend related to warrant inducement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8" w:name="xdx_40D_eus-gaap--NetIncomeLossAvailable"/>
            <w:bookmarkEnd w:id="138"/>
          </w:p>
        </w:tc>
      </w:tr>
      <w:tr>
        <w:trPr/>
        <w:tc>
          <w:tcPr>
            <w:tcW w:w="545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(9,329</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02_eus-gaap--EarningsPerShareAbstra"/>
            <w:bookmarkEnd w:id="139"/>
          </w:p>
        </w:tc>
      </w:tr>
      <w:tr>
        <w:trPr/>
        <w:tc>
          <w:tcPr>
            <w:tcW w:w="5450"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 w:name="xdx_401_eus-gaap--IncomeLossFromContinui"/>
            <w:bookmarkEnd w:id="140"/>
          </w:p>
        </w:tc>
      </w:tr>
      <w:tr>
        <w:trPr/>
        <w:tc>
          <w:tcPr>
            <w:tcW w:w="5450" w:type="dxa"/>
            <w:tcBorders/>
            <w:shd w:fill="FFFFFF" w:val="clear"/>
            <w:vAlign w:val="center"/>
          </w:tcPr>
          <w:p>
            <w:pPr>
              <w:pStyle w:val="TableContents"/>
              <w:bidi w:val="0"/>
              <w:spacing w:before="0" w:after="283"/>
              <w:jc w:val="left"/>
              <w:rPr/>
            </w:pPr>
            <w:r>
              <w:rPr/>
              <w:t>Basic –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(17.30</w:t>
            </w:r>
          </w:p>
        </w:tc>
        <w:tc>
          <w:tcPr>
            <w:tcW w:w="110" w:type="dxa"/>
            <w:tcBorders/>
            <w:shd w:fill="FFFFFF" w:val="clear"/>
            <w:vAlign w:val="center"/>
          </w:tcPr>
          <w:p>
            <w:pPr>
              <w:pStyle w:val="TableContents"/>
              <w:bidi w:val="0"/>
              <w:spacing w:before="0" w:after="283"/>
              <w:jc w:val="left"/>
              <w:rPr/>
            </w:pPr>
            <w:r>
              <w:rPr/>
              <w:t>)</w:t>
            </w:r>
            <w:bookmarkStart w:id="141" w:name="xdx_400_ecustom--BasicDeemedDividendRela"/>
            <w:bookmarkEnd w:id="141"/>
          </w:p>
        </w:tc>
      </w:tr>
      <w:tr>
        <w:trPr/>
        <w:tc>
          <w:tcPr>
            <w:tcW w:w="5450" w:type="dxa"/>
            <w:tcBorders/>
            <w:shd w:fill="CCEEFF" w:val="clear"/>
            <w:vAlign w:val="center"/>
          </w:tcPr>
          <w:p>
            <w:pPr>
              <w:pStyle w:val="TableContents"/>
              <w:bidi w:val="0"/>
              <w:spacing w:before="0" w:after="283"/>
              <w:jc w:val="left"/>
              <w:rPr/>
            </w:pPr>
            <w:r>
              <w:rPr/>
              <w:t>Basic – 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2" w:name="xdx_403_eus-gaap--EarningsPerShareBasic_"/>
            <w:bookmarkEnd w:id="142"/>
          </w:p>
        </w:tc>
      </w:tr>
      <w:tr>
        <w:trPr/>
        <w:tc>
          <w:tcPr>
            <w:tcW w:w="5450" w:type="dxa"/>
            <w:tcBorders/>
            <w:shd w:fill="FFFFFF" w:val="clear"/>
            <w:vAlign w:val="center"/>
          </w:tcPr>
          <w:p>
            <w:pPr>
              <w:pStyle w:val="TableContents"/>
              <w:bidi w:val="0"/>
              <w:spacing w:before="0" w:after="283"/>
              <w:jc w:val="left"/>
              <w:rPr/>
            </w:pPr>
            <w:r>
              <w:rPr/>
              <w:t>Basic –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(17.30</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 w:name="xdx_40A_eus-gaap--IncomeLossFromContinui"/>
            <w:bookmarkEnd w:id="143"/>
          </w:p>
        </w:tc>
      </w:tr>
      <w:tr>
        <w:trPr/>
        <w:tc>
          <w:tcPr>
            <w:tcW w:w="5450" w:type="dxa"/>
            <w:tcBorders/>
            <w:shd w:fill="FFFFFF" w:val="clear"/>
            <w:vAlign w:val="center"/>
          </w:tcPr>
          <w:p>
            <w:pPr>
              <w:pStyle w:val="TableContents"/>
              <w:bidi w:val="0"/>
              <w:spacing w:before="0" w:after="283"/>
              <w:jc w:val="left"/>
              <w:rPr/>
            </w:pPr>
            <w:r>
              <w:rPr/>
              <w:t>Diluted –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(19.59</w:t>
            </w:r>
          </w:p>
        </w:tc>
        <w:tc>
          <w:tcPr>
            <w:tcW w:w="110" w:type="dxa"/>
            <w:tcBorders/>
            <w:shd w:fill="FFFFFF" w:val="clear"/>
            <w:vAlign w:val="center"/>
          </w:tcPr>
          <w:p>
            <w:pPr>
              <w:pStyle w:val="TableContents"/>
              <w:bidi w:val="0"/>
              <w:spacing w:before="0" w:after="283"/>
              <w:jc w:val="left"/>
              <w:rPr/>
            </w:pPr>
            <w:r>
              <w:rPr/>
              <w:t>)</w:t>
            </w:r>
            <w:bookmarkStart w:id="144" w:name="xdx_40D_ecustom--DilutedDeemedDividendRe"/>
            <w:bookmarkEnd w:id="144"/>
          </w:p>
        </w:tc>
      </w:tr>
      <w:tr>
        <w:trPr/>
        <w:tc>
          <w:tcPr>
            <w:tcW w:w="5450" w:type="dxa"/>
            <w:tcBorders/>
            <w:shd w:fill="CCEEFF" w:val="clear"/>
            <w:vAlign w:val="center"/>
          </w:tcPr>
          <w:p>
            <w:pPr>
              <w:pStyle w:val="TableContents"/>
              <w:bidi w:val="0"/>
              <w:spacing w:before="0" w:after="283"/>
              <w:jc w:val="left"/>
              <w:rPr/>
            </w:pPr>
            <w:r>
              <w:rPr/>
              <w:t>Diluted – 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5" w:name="xdx_402_eus-gaap--EarningsPerShareDilute"/>
            <w:bookmarkEnd w:id="145"/>
          </w:p>
        </w:tc>
      </w:tr>
      <w:tr>
        <w:trPr/>
        <w:tc>
          <w:tcPr>
            <w:tcW w:w="5450" w:type="dxa"/>
            <w:tcBorders/>
            <w:shd w:fill="FFFFFF" w:val="clear"/>
            <w:vAlign w:val="center"/>
          </w:tcPr>
          <w:p>
            <w:pPr>
              <w:pStyle w:val="TableContents"/>
              <w:bidi w:val="0"/>
              <w:spacing w:before="0" w:after="283"/>
              <w:jc w:val="left"/>
              <w:rPr/>
            </w:pPr>
            <w:r>
              <w:rPr/>
              <w:t>Diluted –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(19.59</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A_eus-gaap--EarningsPerShareBasicO"/>
            <w:bookmarkEnd w:id="146"/>
          </w:p>
        </w:tc>
      </w:tr>
      <w:tr>
        <w:trPr/>
        <w:tc>
          <w:tcPr>
            <w:tcW w:w="5450" w:type="dxa"/>
            <w:tcBorders/>
            <w:shd w:fill="FFFFFF" w:val="clear"/>
            <w:vAlign w:val="center"/>
          </w:tcPr>
          <w:p>
            <w:pPr>
              <w:pStyle w:val="TableContents"/>
              <w:bidi w:val="0"/>
              <w:spacing w:before="0" w:after="283"/>
              <w:jc w:val="left"/>
              <w:rPr/>
            </w:pP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7" w:name="xdx_40C_eus-gaap--WeightedAverageNumberO"/>
            <w:bookmarkEnd w:id="147"/>
          </w:p>
        </w:tc>
      </w:tr>
      <w:tr>
        <w:trPr/>
        <w:tc>
          <w:tcPr>
            <w:tcW w:w="545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2,963,539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896,305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539,252</w:t>
            </w:r>
          </w:p>
        </w:tc>
        <w:tc>
          <w:tcPr>
            <w:tcW w:w="110" w:type="dxa"/>
            <w:tcBorders/>
            <w:shd w:fill="CCEEFF" w:val="clear"/>
            <w:vAlign w:val="center"/>
          </w:tcPr>
          <w:p>
            <w:pPr>
              <w:pStyle w:val="TableContents"/>
              <w:bidi w:val="0"/>
              <w:spacing w:before="0" w:after="283"/>
              <w:jc w:val="left"/>
              <w:rPr/>
            </w:pPr>
            <w:r>
              <w:rPr/>
              <w:t> </w:t>
            </w:r>
            <w:bookmarkStart w:id="148" w:name="xdx_40C_eus-gaap--WeightedAverageNumberO"/>
            <w:bookmarkEnd w:id="148"/>
          </w:p>
        </w:tc>
      </w:tr>
      <w:tr>
        <w:trPr/>
        <w:tc>
          <w:tcPr>
            <w:tcW w:w="545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897,323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2,411,179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656,468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9" w:name="a_003"/>
      <w:bookmarkEnd w:id="149"/>
      <w:r>
        <w:rPr>
          <w:rFonts w:ascii="Times New Roman;Times;Serif" w:hAnsi="Times New Roman;Times;Serif"/>
          <w:b/>
          <w:i w:val="false"/>
          <w:caps w:val="false"/>
          <w:smallCaps w:val="false"/>
          <w:sz w:val="20"/>
        </w:rPr>
        <w:t>Condensed Consolidated Statements of Stockholders’ Equity -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0" w:name="xdx_30F_114_pn3n3_zmdl5WVdQYjh"/>
      <w:bookmarkStart w:id="151" w:name="xdx_30F_114_pn3n3_zmdl5WVdQYjh"/>
      <w:bookmarkEnd w:id="151"/>
    </w:p>
    <w:tbl>
      <w:tblPr>
        <w:tblW w:w="10205" w:type="dxa"/>
        <w:jc w:val="left"/>
        <w:tblInd w:w="0" w:type="dxa"/>
        <w:tblLayout w:type="fixed"/>
        <w:tblCellMar>
          <w:top w:w="0" w:type="dxa"/>
          <w:left w:w="0" w:type="dxa"/>
          <w:bottom w:w="0" w:type="dxa"/>
          <w:right w:w="0" w:type="dxa"/>
        </w:tblCellMar>
      </w:tblPr>
      <w:tblGrid>
        <w:gridCol w:w="1535"/>
        <w:gridCol w:w="60"/>
        <w:gridCol w:w="96"/>
        <w:gridCol w:w="614"/>
        <w:gridCol w:w="95"/>
        <w:gridCol w:w="60"/>
        <w:gridCol w:w="512"/>
        <w:gridCol w:w="348"/>
        <w:gridCol w:w="60"/>
        <w:gridCol w:w="60"/>
        <w:gridCol w:w="60"/>
        <w:gridCol w:w="980"/>
        <w:gridCol w:w="95"/>
        <w:gridCol w:w="60"/>
        <w:gridCol w:w="301"/>
        <w:gridCol w:w="559"/>
        <w:gridCol w:w="60"/>
        <w:gridCol w:w="60"/>
        <w:gridCol w:w="574"/>
        <w:gridCol w:w="391"/>
        <w:gridCol w:w="60"/>
        <w:gridCol w:w="60"/>
        <w:gridCol w:w="140"/>
        <w:gridCol w:w="800"/>
        <w:gridCol w:w="95"/>
        <w:gridCol w:w="60"/>
        <w:gridCol w:w="188"/>
        <w:gridCol w:w="1182"/>
        <w:gridCol w:w="95"/>
        <w:gridCol w:w="60"/>
        <w:gridCol w:w="140"/>
        <w:gridCol w:w="635"/>
        <w:gridCol w:w="110"/>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 w:name="xdx_4B8_us-gaap--StatementEquityComponen"/>
            <w:bookmarkEnd w:id="15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 w:name="xdx_4B7_us-gaap--StatementEquityComponen"/>
            <w:bookmarkEnd w:id="15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B3_us-gaap--StatementEquityComponen"/>
            <w:bookmarkEnd w:id="154"/>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5" w:name="xdx_4BC_us-gaap--StatementEquityComponen"/>
            <w:bookmarkEnd w:id="155"/>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B0_us-gaap--StatementEquityComponen"/>
            <w:bookmarkEnd w:id="156"/>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8_zkErcY0SSys4"/>
            <w:bookmarkEnd w:id="157"/>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Treasury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58" w:name="xdx_439_c20240101__20240331_eus-gaap--St"/>
            <w:bookmarkEnd w:id="158"/>
          </w:p>
        </w:tc>
      </w:tr>
      <w:tr>
        <w:trPr/>
        <w:tc>
          <w:tcPr>
            <w:tcW w:w="1535"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59" w:name="xdx_98D_eus-gaap--SharesOutstanding_iS_p"/>
            <w:bookmarkEnd w:id="159"/>
          </w:p>
        </w:tc>
        <w:tc>
          <w:tcPr>
            <w:tcW w:w="614"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6_eus-gaap--SharesOutstanding_iS_p"/>
            <w:bookmarkEnd w:id="160"/>
          </w:p>
        </w:tc>
        <w:tc>
          <w:tcPr>
            <w:tcW w:w="980" w:type="dxa"/>
            <w:tcBorders/>
            <w:shd w:fill="CCEEFF" w:val="clear"/>
            <w:vAlign w:val="center"/>
          </w:tcPr>
          <w:p>
            <w:pPr>
              <w:pStyle w:val="TableContents"/>
              <w:bidi w:val="0"/>
              <w:spacing w:before="0" w:after="283"/>
              <w:jc w:val="right"/>
              <w:rPr/>
            </w:pPr>
            <w:r>
              <w:rPr/>
              <w:t>26,603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(270,714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8,772</w:t>
            </w:r>
          </w:p>
        </w:tc>
        <w:tc>
          <w:tcPr>
            <w:tcW w:w="110" w:type="dxa"/>
            <w:tcBorders/>
            <w:shd w:fill="CCEEFF" w:val="clear"/>
            <w:vAlign w:val="center"/>
          </w:tcPr>
          <w:p>
            <w:pPr>
              <w:pStyle w:val="TableContents"/>
              <w:bidi w:val="0"/>
              <w:spacing w:before="0" w:after="283"/>
              <w:jc w:val="left"/>
              <w:rPr/>
            </w:pPr>
            <w:r>
              <w:rPr/>
              <w:t> </w:t>
            </w:r>
            <w:bookmarkStart w:id="161" w:name="xdx_40E_eus-gaap--StockIssuedDuringPerio"/>
            <w:bookmarkEnd w:id="161"/>
          </w:p>
        </w:tc>
      </w:tr>
      <w:tr>
        <w:trPr/>
        <w:tc>
          <w:tcPr>
            <w:tcW w:w="153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 w:name="xdx_980_eus-gaap--StockIssuedDuringPerio"/>
            <w:bookmarkEnd w:id="162"/>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bookmarkStart w:id="163" w:name="xdx_401_eus-gaap--StockIssuedDuringPerio"/>
            <w:bookmarkEnd w:id="163"/>
          </w:p>
        </w:tc>
      </w:tr>
      <w:tr>
        <w:trPr/>
        <w:tc>
          <w:tcPr>
            <w:tcW w:w="1535" w:type="dxa"/>
            <w:tcBorders/>
            <w:shd w:fill="CCEEFF" w:val="clear"/>
            <w:vAlign w:val="center"/>
          </w:tcPr>
          <w:p>
            <w:pPr>
              <w:pStyle w:val="TableContents"/>
              <w:bidi w:val="0"/>
              <w:spacing w:before="0" w:after="283"/>
              <w:jc w:val="left"/>
              <w:rPr/>
            </w:pPr>
            <w:r>
              <w:rPr/>
              <w:t>Common stock issued for cash, net of fees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D_eus-gaap--StockIssuedDuringPerio"/>
            <w:bookmarkEnd w:id="164"/>
          </w:p>
        </w:tc>
        <w:tc>
          <w:tcPr>
            <w:tcW w:w="980" w:type="dxa"/>
            <w:tcBorders/>
            <w:shd w:fill="CCEEFF" w:val="clear"/>
            <w:vAlign w:val="center"/>
          </w:tcPr>
          <w:p>
            <w:pPr>
              <w:pStyle w:val="TableContents"/>
              <w:bidi w:val="0"/>
              <w:spacing w:before="0" w:after="283"/>
              <w:jc w:val="right"/>
              <w:rPr/>
            </w:pPr>
            <w:r>
              <w:rPr/>
              <w:t>165,797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1,584</w:t>
            </w:r>
          </w:p>
        </w:tc>
        <w:tc>
          <w:tcPr>
            <w:tcW w:w="110" w:type="dxa"/>
            <w:tcBorders/>
            <w:shd w:fill="CCEEFF" w:val="clear"/>
            <w:vAlign w:val="center"/>
          </w:tcPr>
          <w:p>
            <w:pPr>
              <w:pStyle w:val="TableContents"/>
              <w:bidi w:val="0"/>
              <w:spacing w:before="0" w:after="283"/>
              <w:jc w:val="left"/>
              <w:rPr/>
            </w:pPr>
            <w:r>
              <w:rPr/>
              <w:t> </w:t>
            </w:r>
            <w:bookmarkStart w:id="165" w:name="xdx_404_eus-gaap--AdjustmentsToAdditiona"/>
            <w:bookmarkEnd w:id="165"/>
          </w:p>
        </w:tc>
      </w:tr>
      <w:tr>
        <w:trPr/>
        <w:tc>
          <w:tcPr>
            <w:tcW w:w="1535" w:type="dxa"/>
            <w:tcBorders/>
            <w:shd w:fill="FFFFFF" w:val="clear"/>
            <w:vAlign w:val="center"/>
          </w:tcPr>
          <w:p>
            <w:pPr>
              <w:pStyle w:val="TableContents"/>
              <w:bidi w:val="0"/>
              <w:spacing w:before="0" w:after="283"/>
              <w:jc w:val="left"/>
              <w:rPr/>
            </w:pPr>
            <w:r>
              <w:rPr/>
              <w:t>Prefunded warrants issued for cash, net of cash fees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406</w:t>
            </w:r>
          </w:p>
        </w:tc>
        <w:tc>
          <w:tcPr>
            <w:tcW w:w="110" w:type="dxa"/>
            <w:tcBorders/>
            <w:shd w:fill="FFFFFF" w:val="clear"/>
            <w:vAlign w:val="center"/>
          </w:tcPr>
          <w:p>
            <w:pPr>
              <w:pStyle w:val="TableContents"/>
              <w:bidi w:val="0"/>
              <w:spacing w:before="0" w:after="283"/>
              <w:jc w:val="left"/>
              <w:rPr/>
            </w:pPr>
            <w:r>
              <w:rPr/>
              <w:t> </w:t>
            </w:r>
            <w:bookmarkStart w:id="166" w:name="xdx_405_ecustom--IssuanceOfCommonStockFr"/>
            <w:bookmarkEnd w:id="166"/>
          </w:p>
        </w:tc>
      </w:tr>
      <w:tr>
        <w:trPr/>
        <w:tc>
          <w:tcPr>
            <w:tcW w:w="1535" w:type="dxa"/>
            <w:tcBorders/>
            <w:shd w:fill="CCEEFF" w:val="clear"/>
            <w:vAlign w:val="center"/>
          </w:tcPr>
          <w:p>
            <w:pPr>
              <w:pStyle w:val="TableContents"/>
              <w:bidi w:val="0"/>
              <w:spacing w:before="0" w:after="283"/>
              <w:jc w:val="left"/>
              <w:rPr/>
            </w:pPr>
            <w:r>
              <w:rPr/>
              <w:t>Issuance of common stock from the exercise of prefunded warrants for cash</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 w:name="xdx_98F_ecustom--IssuanceOfCommonStockFr"/>
            <w:bookmarkEnd w:id="167"/>
          </w:p>
        </w:tc>
        <w:tc>
          <w:tcPr>
            <w:tcW w:w="980" w:type="dxa"/>
            <w:tcBorders/>
            <w:shd w:fill="CCEEFF" w:val="clear"/>
            <w:vAlign w:val="center"/>
          </w:tcPr>
          <w:p>
            <w:pPr>
              <w:pStyle w:val="TableContents"/>
              <w:bidi w:val="0"/>
              <w:spacing w:before="0" w:after="283"/>
              <w:jc w:val="right"/>
              <w:rPr/>
            </w:pPr>
            <w:r>
              <w:rPr/>
              <w:t>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8" w:name="xdx_403_eus-gaap--NetIncomeLoss_zaBz8fu8"/>
            <w:bookmarkEnd w:id="168"/>
          </w:p>
        </w:tc>
      </w:tr>
      <w:tr>
        <w:trPr/>
        <w:tc>
          <w:tcPr>
            <w:tcW w:w="153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(886</w:t>
            </w:r>
          </w:p>
        </w:tc>
        <w:tc>
          <w:tcPr>
            <w:tcW w:w="110" w:type="dxa"/>
            <w:tcBorders/>
            <w:shd w:fill="FFFFFF" w:val="clear"/>
            <w:vAlign w:val="center"/>
          </w:tcPr>
          <w:p>
            <w:pPr>
              <w:pStyle w:val="TableContents"/>
              <w:bidi w:val="0"/>
              <w:spacing w:before="0" w:after="283"/>
              <w:jc w:val="left"/>
              <w:rPr/>
            </w:pPr>
            <w:r>
              <w:rPr/>
              <w:t>)</w:t>
            </w:r>
            <w:bookmarkStart w:id="169" w:name="xdx_437_c20240401__20240630_eus-gaap--St"/>
            <w:bookmarkEnd w:id="169"/>
          </w:p>
        </w:tc>
      </w:tr>
      <w:tr>
        <w:trPr/>
        <w:tc>
          <w:tcPr>
            <w:tcW w:w="1535" w:type="dxa"/>
            <w:tcBorders/>
            <w:shd w:fill="CCEEFF" w:val="clear"/>
            <w:vAlign w:val="center"/>
          </w:tcPr>
          <w:p>
            <w:pPr>
              <w:pStyle w:val="TableContents"/>
              <w:bidi w:val="0"/>
              <w:spacing w:before="0" w:after="283"/>
              <w:jc w:val="left"/>
              <w:rPr>
                <w:b/>
              </w:rPr>
            </w:pPr>
            <w:r>
              <w:rPr>
                <w:b/>
              </w:rPr>
              <w:t>Balance as of March 31, 2024</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0" w:name="xdx_980_eus-gaap--SharesOutstanding_iS_p"/>
            <w:bookmarkEnd w:id="170"/>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1" w:name="xdx_984_eus-gaap--SharesOutstanding_iS_p"/>
            <w:bookmarkEnd w:id="17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255,400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281,523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(271,600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9,926</w:t>
            </w:r>
          </w:p>
        </w:tc>
        <w:tc>
          <w:tcPr>
            <w:tcW w:w="110" w:type="dxa"/>
            <w:tcBorders/>
            <w:shd w:fill="CCEEFF" w:val="clear"/>
            <w:vAlign w:val="center"/>
          </w:tcPr>
          <w:p>
            <w:pPr>
              <w:pStyle w:val="TableContents"/>
              <w:bidi w:val="0"/>
              <w:spacing w:before="0" w:after="283"/>
              <w:jc w:val="left"/>
              <w:rPr/>
            </w:pPr>
            <w:r>
              <w:rPr/>
              <w:t> </w:t>
            </w:r>
            <w:bookmarkStart w:id="172" w:name="xdx_40E_eus-gaap--StockIssuedDuringPerio"/>
            <w:bookmarkEnd w:id="172"/>
          </w:p>
        </w:tc>
      </w:tr>
      <w:tr>
        <w:trPr/>
        <w:tc>
          <w:tcPr>
            <w:tcW w:w="153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 w:name="xdx_98D_eus-gaap--StockIssuedDuringPerio"/>
            <w:bookmarkEnd w:id="173"/>
          </w:p>
        </w:tc>
        <w:tc>
          <w:tcPr>
            <w:tcW w:w="980"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bookmarkStart w:id="174" w:name="xdx_401_eus-gaap--StockIssuedDuringPerio"/>
            <w:bookmarkEnd w:id="174"/>
          </w:p>
        </w:tc>
      </w:tr>
      <w:tr>
        <w:trPr/>
        <w:tc>
          <w:tcPr>
            <w:tcW w:w="1535" w:type="dxa"/>
            <w:tcBorders/>
            <w:shd w:fill="CCEEFF" w:val="clear"/>
            <w:vAlign w:val="center"/>
          </w:tcPr>
          <w:p>
            <w:pPr>
              <w:pStyle w:val="TableContents"/>
              <w:bidi w:val="0"/>
              <w:spacing w:before="0" w:after="283"/>
              <w:jc w:val="left"/>
              <w:rPr/>
            </w:pPr>
            <w:r>
              <w:rPr/>
              <w:t>Common stock issued for cash, net of fees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3_eus-gaap--StockIssuedDuringPerio"/>
            <w:bookmarkEnd w:id="175"/>
          </w:p>
        </w:tc>
        <w:tc>
          <w:tcPr>
            <w:tcW w:w="980" w:type="dxa"/>
            <w:tcBorders/>
            <w:shd w:fill="CCEEFF" w:val="clear"/>
            <w:vAlign w:val="center"/>
          </w:tcPr>
          <w:p>
            <w:pPr>
              <w:pStyle w:val="TableContents"/>
              <w:bidi w:val="0"/>
              <w:spacing w:before="0" w:after="283"/>
              <w:jc w:val="right"/>
              <w:rPr/>
            </w:pPr>
            <w:r>
              <w:rPr/>
              <w:t>358,000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1,108</w:t>
            </w:r>
          </w:p>
        </w:tc>
        <w:tc>
          <w:tcPr>
            <w:tcW w:w="110" w:type="dxa"/>
            <w:tcBorders/>
            <w:shd w:fill="CCEEFF" w:val="clear"/>
            <w:vAlign w:val="center"/>
          </w:tcPr>
          <w:p>
            <w:pPr>
              <w:pStyle w:val="TableContents"/>
              <w:bidi w:val="0"/>
              <w:spacing w:before="0" w:after="283"/>
              <w:jc w:val="left"/>
              <w:rPr/>
            </w:pPr>
            <w:r>
              <w:rPr/>
              <w:t> </w:t>
            </w:r>
            <w:bookmarkStart w:id="176" w:name="xdx_408_ecustom--StockIssuedDuringPeriod"/>
            <w:bookmarkEnd w:id="176"/>
          </w:p>
        </w:tc>
      </w:tr>
      <w:tr>
        <w:trPr/>
        <w:tc>
          <w:tcPr>
            <w:tcW w:w="1535" w:type="dxa"/>
            <w:tcBorders/>
            <w:shd w:fill="FFFFFF" w:val="clear"/>
            <w:vAlign w:val="center"/>
          </w:tcPr>
          <w:p>
            <w:pPr>
              <w:pStyle w:val="TableContents"/>
              <w:bidi w:val="0"/>
              <w:spacing w:before="0" w:after="283"/>
              <w:jc w:val="left"/>
              <w:rPr/>
            </w:pPr>
            <w:r>
              <w:rPr/>
              <w:t>Extinguishment of derivative liabilities upon exercise of warrants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0_ecustom--StockIssuedDuringPeriod"/>
            <w:bookmarkEnd w:id="177"/>
          </w:p>
        </w:tc>
        <w:tc>
          <w:tcPr>
            <w:tcW w:w="980"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178" w:name="xdx_407_eus-gaap--StockIssuedDuringPerio"/>
            <w:bookmarkEnd w:id="178"/>
          </w:p>
        </w:tc>
      </w:tr>
      <w:tr>
        <w:trPr/>
        <w:tc>
          <w:tcPr>
            <w:tcW w:w="1535" w:type="dxa"/>
            <w:tcBorders/>
            <w:shd w:fill="CCEEFF" w:val="clear"/>
            <w:vAlign w:val="center"/>
          </w:tcPr>
          <w:p>
            <w:pPr>
              <w:pStyle w:val="TableContents"/>
              <w:bidi w:val="0"/>
              <w:spacing w:before="0" w:after="283"/>
              <w:jc w:val="left"/>
              <w:rPr/>
            </w:pPr>
            <w:r>
              <w:rPr/>
              <w:t>Issuance of common stock from the conversion of preferred stock</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79" w:name="xdx_988_eus-gaap--StockIssuedDuringPerio"/>
            <w:bookmarkEnd w:id="179"/>
          </w:p>
        </w:tc>
        <w:tc>
          <w:tcPr>
            <w:tcW w:w="614"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0" w:name="xdx_986_eus-gaap--StockIssuedDuringPerio"/>
            <w:bookmarkEnd w:id="180"/>
          </w:p>
        </w:tc>
        <w:tc>
          <w:tcPr>
            <w:tcW w:w="980" w:type="dxa"/>
            <w:tcBorders/>
            <w:shd w:fill="CCEEFF" w:val="clear"/>
            <w:vAlign w:val="center"/>
          </w:tcPr>
          <w:p>
            <w:pPr>
              <w:pStyle w:val="TableContents"/>
              <w:bidi w:val="0"/>
              <w:spacing w:before="0" w:after="283"/>
              <w:jc w:val="right"/>
              <w:rPr/>
            </w:pPr>
            <w:r>
              <w:rPr/>
              <w:t>2,881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1" w:name="xdx_401_ecustom--StockIssuedDuringPeriod"/>
            <w:bookmarkEnd w:id="181"/>
          </w:p>
        </w:tc>
      </w:tr>
      <w:tr>
        <w:trPr/>
        <w:tc>
          <w:tcPr>
            <w:tcW w:w="1535" w:type="dxa"/>
            <w:tcBorders/>
            <w:shd w:fill="FFFFFF" w:val="clear"/>
            <w:vAlign w:val="center"/>
          </w:tcPr>
          <w:p>
            <w:pPr>
              <w:pStyle w:val="TableContents"/>
              <w:bidi w:val="0"/>
              <w:spacing w:before="0" w:after="283"/>
              <w:jc w:val="left"/>
              <w:rPr/>
            </w:pPr>
            <w:r>
              <w:rPr/>
              <w:t>Round up of shares issued in reverse stock split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 w:name="xdx_981_eus-gaap--StockIssuedDuringPerio"/>
            <w:bookmarkEnd w:id="182"/>
          </w:p>
        </w:tc>
        <w:tc>
          <w:tcPr>
            <w:tcW w:w="980" w:type="dxa"/>
            <w:tcBorders/>
            <w:shd w:fill="FFFFFF" w:val="clear"/>
            <w:vAlign w:val="center"/>
          </w:tcPr>
          <w:p>
            <w:pPr>
              <w:pStyle w:val="TableContents"/>
              <w:bidi w:val="0"/>
              <w:spacing w:before="0" w:after="283"/>
              <w:jc w:val="right"/>
              <w:rPr/>
            </w:pPr>
            <w:r>
              <w:rPr/>
              <w:t>131,967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3" w:name="xdx_403_eus-gaap--NetIncomeLoss_zKuQwzat"/>
            <w:bookmarkEnd w:id="183"/>
          </w:p>
        </w:tc>
      </w:tr>
      <w:tr>
        <w:trPr/>
        <w:tc>
          <w:tcPr>
            <w:tcW w:w="153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(2,204</w:t>
            </w:r>
          </w:p>
        </w:tc>
        <w:tc>
          <w:tcPr>
            <w:tcW w:w="110" w:type="dxa"/>
            <w:tcBorders/>
            <w:shd w:fill="CCEEFF" w:val="clear"/>
            <w:vAlign w:val="center"/>
          </w:tcPr>
          <w:p>
            <w:pPr>
              <w:pStyle w:val="TableContents"/>
              <w:bidi w:val="0"/>
              <w:spacing w:before="0" w:after="283"/>
              <w:jc w:val="left"/>
              <w:rPr/>
            </w:pPr>
            <w:r>
              <w:rPr/>
              <w:t>)</w:t>
            </w:r>
            <w:bookmarkStart w:id="184" w:name="xdx_43A_c20240701__20240930_eus-gaap--St"/>
            <w:bookmarkEnd w:id="184"/>
          </w:p>
        </w:tc>
      </w:tr>
      <w:tr>
        <w:trPr/>
        <w:tc>
          <w:tcPr>
            <w:tcW w:w="1535" w:type="dxa"/>
            <w:tcBorders/>
            <w:shd w:fill="FFFFFF" w:val="clear"/>
            <w:vAlign w:val="center"/>
          </w:tcPr>
          <w:p>
            <w:pPr>
              <w:pStyle w:val="TableContents"/>
              <w:bidi w:val="0"/>
              <w:spacing w:before="0" w:after="283"/>
              <w:jc w:val="left"/>
              <w:rPr>
                <w:b/>
              </w:rPr>
            </w:pPr>
            <w:r>
              <w:rPr>
                <w:b/>
              </w:rPr>
              <w:t>Balance as of June 30, 2024</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5" w:name="xdx_984_eus-gaap--SharesOutstanding_iS_p"/>
            <w:bookmarkEnd w:id="185"/>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6" w:name="xdx_98A_eus-gaap--SharesOutstanding_iS_p"/>
            <w:bookmarkEnd w:id="18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748,341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282,643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(273,804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8,846</w:t>
            </w:r>
          </w:p>
        </w:tc>
        <w:tc>
          <w:tcPr>
            <w:tcW w:w="110" w:type="dxa"/>
            <w:tcBorders/>
            <w:shd w:fill="FFFFFF" w:val="clear"/>
            <w:vAlign w:val="center"/>
          </w:tcPr>
          <w:p>
            <w:pPr>
              <w:pStyle w:val="TableContents"/>
              <w:bidi w:val="0"/>
              <w:spacing w:before="0" w:after="283"/>
              <w:jc w:val="left"/>
              <w:rPr/>
            </w:pPr>
            <w:r>
              <w:rPr/>
              <w:t> </w:t>
            </w:r>
            <w:bookmarkStart w:id="187" w:name="xdx_40E_eus-gaap--StockIssuedDuringPerio"/>
            <w:bookmarkEnd w:id="187"/>
          </w:p>
        </w:tc>
      </w:tr>
      <w:tr>
        <w:trPr/>
        <w:tc>
          <w:tcPr>
            <w:tcW w:w="153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1_eus-gaap--StockIssuedDuringPerio"/>
            <w:bookmarkEnd w:id="188"/>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89" w:name="xdx_401_eus-gaap--StockIssuedDuringPerio"/>
            <w:bookmarkEnd w:id="189"/>
          </w:p>
        </w:tc>
      </w:tr>
      <w:tr>
        <w:trPr/>
        <w:tc>
          <w:tcPr>
            <w:tcW w:w="1535" w:type="dxa"/>
            <w:tcBorders/>
            <w:shd w:fill="FFFFFF" w:val="clear"/>
            <w:vAlign w:val="center"/>
          </w:tcPr>
          <w:p>
            <w:pPr>
              <w:pStyle w:val="TableContents"/>
              <w:bidi w:val="0"/>
              <w:spacing w:before="0" w:after="283"/>
              <w:jc w:val="left"/>
              <w:rPr/>
            </w:pPr>
            <w:r>
              <w:rPr/>
              <w:t>Common stock issued for cash, net of cash fees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0" w:name="xdx_980_eus-gaap--StockIssuedDuringPerio"/>
            <w:bookmarkEnd w:id="190"/>
          </w:p>
        </w:tc>
        <w:tc>
          <w:tcPr>
            <w:tcW w:w="980" w:type="dxa"/>
            <w:tcBorders/>
            <w:shd w:fill="FFFFFF" w:val="clear"/>
            <w:vAlign w:val="center"/>
          </w:tcPr>
          <w:p>
            <w:pPr>
              <w:pStyle w:val="TableContents"/>
              <w:bidi w:val="0"/>
              <w:spacing w:before="0" w:after="283"/>
              <w:jc w:val="right"/>
              <w:rPr/>
            </w:pPr>
            <w:r>
              <w:rPr/>
              <w:t>595,560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2,964</w:t>
            </w:r>
          </w:p>
        </w:tc>
        <w:tc>
          <w:tcPr>
            <w:tcW w:w="110" w:type="dxa"/>
            <w:tcBorders/>
            <w:shd w:fill="FFFFFF" w:val="clear"/>
            <w:vAlign w:val="center"/>
          </w:tcPr>
          <w:p>
            <w:pPr>
              <w:pStyle w:val="TableContents"/>
              <w:bidi w:val="0"/>
              <w:spacing w:before="0" w:after="283"/>
              <w:jc w:val="left"/>
              <w:rPr/>
            </w:pPr>
            <w:r>
              <w:rPr/>
              <w:t> </w:t>
            </w:r>
            <w:bookmarkStart w:id="191" w:name="xdx_407_eus-gaap--StockIssuedDuringPerio"/>
            <w:bookmarkEnd w:id="191"/>
          </w:p>
        </w:tc>
      </w:tr>
      <w:tr>
        <w:trPr/>
        <w:tc>
          <w:tcPr>
            <w:tcW w:w="1535" w:type="dxa"/>
            <w:tcBorders/>
            <w:shd w:fill="CCEEFF" w:val="clear"/>
            <w:vAlign w:val="center"/>
          </w:tcPr>
          <w:p>
            <w:pPr>
              <w:pStyle w:val="TableContents"/>
              <w:bidi w:val="0"/>
              <w:spacing w:before="0" w:after="283"/>
              <w:jc w:val="left"/>
              <w:rPr/>
            </w:pPr>
            <w:r>
              <w:rPr/>
              <w:t>Issuance of common stock from the conversion of preferred stock</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92" w:name="xdx_985_eus-gaap--StockIssuedDuringPerio"/>
            <w:bookmarkEnd w:id="192"/>
          </w:p>
        </w:tc>
        <w:tc>
          <w:tcPr>
            <w:tcW w:w="614"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3_eus-gaap--StockIssuedDuringPerio"/>
            <w:bookmarkEnd w:id="193"/>
          </w:p>
        </w:tc>
        <w:tc>
          <w:tcPr>
            <w:tcW w:w="980" w:type="dxa"/>
            <w:tcBorders/>
            <w:shd w:fill="CCEEFF" w:val="clear"/>
            <w:vAlign w:val="center"/>
          </w:tcPr>
          <w:p>
            <w:pPr>
              <w:pStyle w:val="TableContents"/>
              <w:bidi w:val="0"/>
              <w:spacing w:before="0" w:after="283"/>
              <w:jc w:val="right"/>
              <w:rPr/>
            </w:pPr>
            <w:r>
              <w:rPr/>
              <w:t>(1,048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4" w:name="xdx_403_eus-gaap--NetIncomeLoss_z43BX7y1"/>
            <w:bookmarkEnd w:id="194"/>
          </w:p>
        </w:tc>
      </w:tr>
      <w:tr>
        <w:trPr/>
        <w:tc>
          <w:tcPr>
            <w:tcW w:w="153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(6,239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(6,239</w:t>
            </w:r>
          </w:p>
        </w:tc>
        <w:tc>
          <w:tcPr>
            <w:tcW w:w="110" w:type="dxa"/>
            <w:tcBorders/>
            <w:shd w:fill="FFFFFF" w:val="clear"/>
            <w:vAlign w:val="center"/>
          </w:tcPr>
          <w:p>
            <w:pPr>
              <w:pStyle w:val="TableContents"/>
              <w:bidi w:val="0"/>
              <w:spacing w:before="0" w:after="283"/>
              <w:jc w:val="left"/>
              <w:rPr/>
            </w:pPr>
            <w:r>
              <w:rPr/>
              <w:t>)</w:t>
            </w:r>
            <w:bookmarkStart w:id="195" w:name="xdx_43A_c20240701__20240930_eus-gaap--St"/>
            <w:bookmarkEnd w:id="195"/>
          </w:p>
        </w:tc>
      </w:tr>
      <w:tr>
        <w:trPr/>
        <w:tc>
          <w:tcPr>
            <w:tcW w:w="1535" w:type="dxa"/>
            <w:tcBorders/>
            <w:shd w:fill="CCEEFF" w:val="clear"/>
            <w:vAlign w:val="center"/>
          </w:tcPr>
          <w:p>
            <w:pPr>
              <w:pStyle w:val="TableContents"/>
              <w:bidi w:val="0"/>
              <w:spacing w:before="0" w:after="283"/>
              <w:jc w:val="left"/>
              <w:rPr>
                <w:b/>
              </w:rPr>
            </w:pPr>
            <w:r>
              <w:rPr>
                <w:b/>
              </w:rPr>
              <w:t>Balance of as September 30, 2024</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 w:name="xdx_98C_eus-gaap--SharesOutstanding_iE_p"/>
            <w:bookmarkEnd w:id="196"/>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7" w:name="xdx_980_eus-gaap--SharesOutstanding_iE_p"/>
            <w:bookmarkEnd w:id="19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1,342,853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285,611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(280,043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5,581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6"/>
        <w:gridCol w:w="60"/>
        <w:gridCol w:w="123"/>
        <w:gridCol w:w="594"/>
        <w:gridCol w:w="77"/>
        <w:gridCol w:w="77"/>
        <w:gridCol w:w="507"/>
        <w:gridCol w:w="353"/>
        <w:gridCol w:w="60"/>
        <w:gridCol w:w="60"/>
        <w:gridCol w:w="60"/>
        <w:gridCol w:w="980"/>
        <w:gridCol w:w="60"/>
        <w:gridCol w:w="60"/>
        <w:gridCol w:w="301"/>
        <w:gridCol w:w="559"/>
        <w:gridCol w:w="60"/>
        <w:gridCol w:w="60"/>
        <w:gridCol w:w="227"/>
        <w:gridCol w:w="738"/>
        <w:gridCol w:w="95"/>
        <w:gridCol w:w="60"/>
        <w:gridCol w:w="140"/>
        <w:gridCol w:w="800"/>
        <w:gridCol w:w="95"/>
        <w:gridCol w:w="60"/>
        <w:gridCol w:w="188"/>
        <w:gridCol w:w="1182"/>
        <w:gridCol w:w="95"/>
        <w:gridCol w:w="60"/>
        <w:gridCol w:w="140"/>
        <w:gridCol w:w="635"/>
        <w:gridCol w:w="113"/>
      </w:tblGrid>
      <w:tr>
        <w:trPr/>
        <w:tc>
          <w:tcPr>
            <w:tcW w:w="15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Treasury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15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bookmarkStart w:id="198" w:name="xdx_430_c20250101__20250331_eus-gaap--St"/>
            <w:bookmarkEnd w:id="198"/>
          </w:p>
        </w:tc>
      </w:tr>
      <w:tr>
        <w:trPr/>
        <w:tc>
          <w:tcPr>
            <w:tcW w:w="1526"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199" w:name="xdx_981_eus-gaap--SharesOutstanding_iS_p"/>
            <w:bookmarkEnd w:id="199"/>
          </w:p>
        </w:tc>
        <w:tc>
          <w:tcPr>
            <w:tcW w:w="594" w:type="dxa"/>
            <w:tcBorders/>
            <w:shd w:fill="CCEEFF" w:val="cle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B_eus-gaap--SharesOutstanding_iS_p"/>
            <w:bookmarkEnd w:id="200"/>
          </w:p>
        </w:tc>
        <w:tc>
          <w:tcPr>
            <w:tcW w:w="980" w:type="dxa"/>
            <w:tcBorders/>
            <w:shd w:fill="CCEEFF" w:val="clear"/>
            <w:vAlign w:val="center"/>
          </w:tcPr>
          <w:p>
            <w:pPr>
              <w:pStyle w:val="TableContents"/>
              <w:bidi w:val="0"/>
              <w:spacing w:before="0" w:after="283"/>
              <w:jc w:val="right"/>
              <w:rPr/>
            </w:pPr>
            <w:r>
              <w:rPr/>
              <w:t>1,342,853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(281,738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3,894</w:t>
            </w:r>
          </w:p>
        </w:tc>
        <w:tc>
          <w:tcPr>
            <w:tcW w:w="113" w:type="dxa"/>
            <w:tcBorders/>
            <w:shd w:fill="CCEEFF" w:val="clear"/>
            <w:vAlign w:val="center"/>
          </w:tcPr>
          <w:p>
            <w:pPr>
              <w:pStyle w:val="TableContents"/>
              <w:bidi w:val="0"/>
              <w:spacing w:before="0" w:after="283"/>
              <w:jc w:val="left"/>
              <w:rPr/>
            </w:pPr>
            <w:r>
              <w:rPr/>
              <w:t> </w:t>
            </w:r>
            <w:bookmarkStart w:id="201" w:name="xdx_401_eus-gaap--StockIssuedDuringPerio"/>
            <w:bookmarkEnd w:id="201"/>
          </w:p>
        </w:tc>
      </w:tr>
      <w:tr>
        <w:trPr/>
        <w:tc>
          <w:tcPr>
            <w:tcW w:w="1526"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2" w:name="xdx_989_eus-gaap--StockIssuedDuringPerio"/>
            <w:bookmarkEnd w:id="202"/>
          </w:p>
        </w:tc>
        <w:tc>
          <w:tcPr>
            <w:tcW w:w="980" w:type="dxa"/>
            <w:tcBorders/>
            <w:shd w:fill="FFFFFF" w:val="clear"/>
            <w:vAlign w:val="center"/>
          </w:tcPr>
          <w:p>
            <w:pPr>
              <w:pStyle w:val="TableContents"/>
              <w:bidi w:val="0"/>
              <w:spacing w:before="0" w:after="283"/>
              <w:jc w:val="right"/>
              <w:rPr/>
            </w:pPr>
            <w:r>
              <w:rPr/>
              <w:t>2,264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177</w:t>
            </w:r>
          </w:p>
        </w:tc>
        <w:tc>
          <w:tcPr>
            <w:tcW w:w="113" w:type="dxa"/>
            <w:tcBorders/>
            <w:shd w:fill="FFFFFF" w:val="clear"/>
            <w:vAlign w:val="center"/>
          </w:tcPr>
          <w:p>
            <w:pPr>
              <w:pStyle w:val="TableContents"/>
              <w:bidi w:val="0"/>
              <w:spacing w:before="0" w:after="283"/>
              <w:jc w:val="left"/>
              <w:rPr/>
            </w:pPr>
            <w:r>
              <w:rPr/>
              <w:t> </w:t>
            </w:r>
            <w:bookmarkStart w:id="203" w:name="xdx_403_eus-gaap--StockIssuedDuringPerio"/>
            <w:bookmarkEnd w:id="203"/>
          </w:p>
        </w:tc>
      </w:tr>
      <w:tr>
        <w:trPr/>
        <w:tc>
          <w:tcPr>
            <w:tcW w:w="1526" w:type="dxa"/>
            <w:tcBorders/>
            <w:shd w:fill="CCEEFF" w:val="clear"/>
            <w:vAlign w:val="center"/>
          </w:tcPr>
          <w:p>
            <w:pPr>
              <w:pStyle w:val="TableContents"/>
              <w:bidi w:val="0"/>
              <w:spacing w:before="0" w:after="283"/>
              <w:jc w:val="left"/>
              <w:rPr/>
            </w:pPr>
            <w:r>
              <w:rPr/>
              <w:t>Common stock and prefunded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4" w:name="xdx_98B_eus-gaap--StockIssuedDuringPerio"/>
            <w:bookmarkEnd w:id="204"/>
          </w:p>
        </w:tc>
        <w:tc>
          <w:tcPr>
            <w:tcW w:w="980" w:type="dxa"/>
            <w:tcBorders/>
            <w:shd w:fill="CCEEFF" w:val="clear"/>
            <w:vAlign w:val="center"/>
          </w:tcPr>
          <w:p>
            <w:pPr>
              <w:pStyle w:val="TableContents"/>
              <w:bidi w:val="0"/>
              <w:spacing w:before="0" w:after="283"/>
              <w:jc w:val="right"/>
              <w:rPr/>
            </w:pPr>
            <w:r>
              <w:rPr/>
              <w:t>1,171,189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4,399</w:t>
            </w:r>
          </w:p>
        </w:tc>
        <w:tc>
          <w:tcPr>
            <w:tcW w:w="113" w:type="dxa"/>
            <w:tcBorders/>
            <w:shd w:fill="CCEEFF" w:val="clear"/>
            <w:vAlign w:val="center"/>
          </w:tcPr>
          <w:p>
            <w:pPr>
              <w:pStyle w:val="TableContents"/>
              <w:bidi w:val="0"/>
              <w:spacing w:before="0" w:after="283"/>
              <w:jc w:val="left"/>
              <w:rPr/>
            </w:pPr>
            <w:r>
              <w:rPr/>
              <w:t> </w:t>
            </w:r>
            <w:bookmarkStart w:id="205" w:name="xdx_402_ecustom--StockIssuedDuringPeriod"/>
            <w:bookmarkEnd w:id="205"/>
          </w:p>
        </w:tc>
      </w:tr>
      <w:tr>
        <w:trPr/>
        <w:tc>
          <w:tcPr>
            <w:tcW w:w="1526" w:type="dxa"/>
            <w:tcBorders/>
            <w:shd w:fill="FFFFFF" w:val="clear"/>
            <w:vAlign w:val="center"/>
          </w:tcPr>
          <w:p>
            <w:pPr>
              <w:pStyle w:val="TableContents"/>
              <w:bidi w:val="0"/>
              <w:spacing w:before="0" w:after="283"/>
              <w:jc w:val="left"/>
              <w:rPr/>
            </w:pPr>
            <w:r>
              <w:rPr/>
              <w:t>Issuance of common stock from the cashless exercise of warrants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1_ecustom--StockIssuedDuringPeriod"/>
            <w:bookmarkEnd w:id="206"/>
          </w:p>
        </w:tc>
        <w:tc>
          <w:tcPr>
            <w:tcW w:w="98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7" w:name="xdx_404_ecustom--PurchaseOfCommonStockIn"/>
            <w:bookmarkEnd w:id="207"/>
          </w:p>
        </w:tc>
      </w:tr>
      <w:tr>
        <w:trPr/>
        <w:tc>
          <w:tcPr>
            <w:tcW w:w="1526" w:type="dxa"/>
            <w:tcBorders/>
            <w:shd w:fill="CCEEFF" w:val="clear"/>
            <w:vAlign w:val="center"/>
          </w:tcPr>
          <w:p>
            <w:pPr>
              <w:pStyle w:val="TableContents"/>
              <w:bidi w:val="0"/>
              <w:spacing w:before="0" w:after="283"/>
              <w:jc w:val="left"/>
              <w:rPr/>
            </w:pPr>
            <w:r>
              <w:rPr/>
              <w:t>Purchase of common stock into Treasury</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(86</w:t>
            </w:r>
          </w:p>
        </w:tc>
        <w:tc>
          <w:tcPr>
            <w:tcW w:w="113" w:type="dxa"/>
            <w:tcBorders/>
            <w:shd w:fill="CCEEFF" w:val="clear"/>
            <w:vAlign w:val="center"/>
          </w:tcPr>
          <w:p>
            <w:pPr>
              <w:pStyle w:val="TableContents"/>
              <w:bidi w:val="0"/>
              <w:spacing w:before="0" w:after="283"/>
              <w:jc w:val="left"/>
              <w:rPr/>
            </w:pPr>
            <w:r>
              <w:rPr/>
              <w:t>)</w:t>
            </w:r>
            <w:bookmarkStart w:id="208" w:name="xdx_403_eus-gaap--NetIncomeLoss_zr5ENpz0"/>
            <w:bookmarkEnd w:id="208"/>
          </w:p>
        </w:tc>
      </w:tr>
      <w:tr>
        <w:trPr/>
        <w:tc>
          <w:tcPr>
            <w:tcW w:w="152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(2,292</w:t>
            </w:r>
          </w:p>
        </w:tc>
        <w:tc>
          <w:tcPr>
            <w:tcW w:w="113" w:type="dxa"/>
            <w:tcBorders/>
            <w:shd w:fill="FFFFFF" w:val="clear"/>
            <w:vAlign w:val="center"/>
          </w:tcPr>
          <w:p>
            <w:pPr>
              <w:pStyle w:val="TableContents"/>
              <w:bidi w:val="0"/>
              <w:spacing w:before="0" w:after="283"/>
              <w:jc w:val="left"/>
              <w:rPr/>
            </w:pPr>
            <w:r>
              <w:rPr/>
              <w:t>)</w:t>
            </w:r>
            <w:bookmarkStart w:id="209" w:name="xdx_43B_c20250401__20250630_eus-gaap--St"/>
            <w:bookmarkEnd w:id="209"/>
          </w:p>
        </w:tc>
      </w:tr>
      <w:tr>
        <w:trPr/>
        <w:tc>
          <w:tcPr>
            <w:tcW w:w="1526" w:type="dxa"/>
            <w:tcBorders/>
            <w:shd w:fill="CCEEFF" w:val="clear"/>
            <w:vAlign w:val="center"/>
          </w:tcPr>
          <w:p>
            <w:pPr>
              <w:pStyle w:val="TableContents"/>
              <w:bidi w:val="0"/>
              <w:spacing w:before="0" w:after="283"/>
              <w:jc w:val="left"/>
              <w:rPr>
                <w:b/>
              </w:rPr>
            </w:pPr>
            <w:r>
              <w:rPr>
                <w:b/>
              </w:rPr>
              <w:t>Balance as of March 31, 2025</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0" w:name="xdx_98F_eus-gaap--SharesOutstanding_iS_p"/>
            <w:bookmarkEnd w:id="210"/>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1" w:name="xdx_987_eus-gaap--SharesOutstanding_iS_p"/>
            <w:bookmarkEnd w:id="21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2,516,311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290,183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(284,030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6,092</w:t>
            </w:r>
          </w:p>
        </w:tc>
        <w:tc>
          <w:tcPr>
            <w:tcW w:w="113" w:type="dxa"/>
            <w:tcBorders/>
            <w:shd w:fill="CCEEFF" w:val="clear"/>
            <w:vAlign w:val="center"/>
          </w:tcPr>
          <w:p>
            <w:pPr>
              <w:pStyle w:val="TableContents"/>
              <w:bidi w:val="0"/>
              <w:spacing w:before="0" w:after="283"/>
              <w:jc w:val="left"/>
              <w:rPr/>
            </w:pPr>
            <w:r>
              <w:rPr/>
              <w:t> </w:t>
            </w:r>
            <w:bookmarkStart w:id="212" w:name="xdx_401_eus-gaap--StockIssuedDuringPerio"/>
            <w:bookmarkEnd w:id="212"/>
          </w:p>
        </w:tc>
      </w:tr>
      <w:tr>
        <w:trPr/>
        <w:tc>
          <w:tcPr>
            <w:tcW w:w="1526"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3" w:name="xdx_98B_eus-gaap--StockIssuedDuringPerio"/>
            <w:bookmarkEnd w:id="213"/>
          </w:p>
        </w:tc>
        <w:tc>
          <w:tcPr>
            <w:tcW w:w="980" w:type="dxa"/>
            <w:tcBorders/>
            <w:shd w:fill="FFFFFF" w:val="clear"/>
            <w:vAlign w:val="center"/>
          </w:tcPr>
          <w:p>
            <w:pPr>
              <w:pStyle w:val="TableContents"/>
              <w:bidi w:val="0"/>
              <w:spacing w:before="0" w:after="283"/>
              <w:jc w:val="right"/>
              <w:rPr/>
            </w:pPr>
            <w:r>
              <w:rPr/>
              <w:t>53,932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280</w:t>
            </w:r>
          </w:p>
        </w:tc>
        <w:tc>
          <w:tcPr>
            <w:tcW w:w="113" w:type="dxa"/>
            <w:tcBorders/>
            <w:shd w:fill="FFFFFF" w:val="clear"/>
            <w:vAlign w:val="center"/>
          </w:tcPr>
          <w:p>
            <w:pPr>
              <w:pStyle w:val="TableContents"/>
              <w:bidi w:val="0"/>
              <w:spacing w:before="0" w:after="283"/>
              <w:jc w:val="left"/>
              <w:rPr/>
            </w:pPr>
            <w:r>
              <w:rPr/>
              <w:t> </w:t>
            </w:r>
            <w:bookmarkStart w:id="214" w:name="xdx_403_eus-gaap--StockIssuedDuringPerio"/>
            <w:bookmarkEnd w:id="214"/>
          </w:p>
        </w:tc>
      </w:tr>
      <w:tr>
        <w:trPr/>
        <w:tc>
          <w:tcPr>
            <w:tcW w:w="1526" w:type="dxa"/>
            <w:tcBorders/>
            <w:shd w:fill="CCEEFF" w:val="clear"/>
            <w:vAlign w:val="center"/>
          </w:tcPr>
          <w:p>
            <w:pPr>
              <w:pStyle w:val="TableContents"/>
              <w:bidi w:val="0"/>
              <w:spacing w:before="0" w:after="283"/>
              <w:jc w:val="left"/>
              <w:rPr/>
            </w:pPr>
            <w:r>
              <w:rPr/>
              <w:t>Common stock and prefunded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w:t>
            </w:r>
            <w:bookmarkStart w:id="215" w:name="xdx_402_ecustom--StockIssuedDuringPeriod"/>
            <w:bookmarkEnd w:id="215"/>
          </w:p>
        </w:tc>
      </w:tr>
      <w:tr>
        <w:trPr/>
        <w:tc>
          <w:tcPr>
            <w:tcW w:w="1526" w:type="dxa"/>
            <w:tcBorders/>
            <w:shd w:fill="FFFFFF" w:val="clear"/>
            <w:vAlign w:val="center"/>
          </w:tcPr>
          <w:p>
            <w:pPr>
              <w:pStyle w:val="TableContents"/>
              <w:bidi w:val="0"/>
              <w:spacing w:before="0" w:after="283"/>
              <w:jc w:val="left"/>
              <w:rPr/>
            </w:pPr>
            <w:r>
              <w:rPr/>
              <w:t>Issuance of common stock from the cashless exercise of warrants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6" w:name="xdx_980_ecustom--StockIssuedDuringPeriod"/>
            <w:bookmarkEnd w:id="216"/>
          </w:p>
        </w:tc>
        <w:tc>
          <w:tcPr>
            <w:tcW w:w="980" w:type="dxa"/>
            <w:tcBorders/>
            <w:shd w:fill="FFFFFF" w:val="clear"/>
            <w:vAlign w:val="center"/>
          </w:tcPr>
          <w:p>
            <w:pPr>
              <w:pStyle w:val="TableContents"/>
              <w:bidi w:val="0"/>
              <w:spacing w:before="0" w:after="283"/>
              <w:jc w:val="right"/>
              <w:rPr/>
            </w:pPr>
            <w:r>
              <w:rPr/>
              <w:t>20,928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7" w:name="xdx_404_ecustom--PurchaseOfCommonStockIn"/>
            <w:bookmarkEnd w:id="217"/>
          </w:p>
        </w:tc>
      </w:tr>
      <w:tr>
        <w:trPr/>
        <w:tc>
          <w:tcPr>
            <w:tcW w:w="1526" w:type="dxa"/>
            <w:tcBorders/>
            <w:shd w:fill="CCEEFF" w:val="clear"/>
            <w:vAlign w:val="center"/>
          </w:tcPr>
          <w:p>
            <w:pPr>
              <w:pStyle w:val="TableContents"/>
              <w:bidi w:val="0"/>
              <w:spacing w:before="0" w:after="283"/>
              <w:jc w:val="left"/>
              <w:rPr/>
            </w:pPr>
            <w:r>
              <w:rPr/>
              <w:t>Purchase of common stock into Treasury</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(47</w:t>
            </w:r>
          </w:p>
        </w:tc>
        <w:tc>
          <w:tcPr>
            <w:tcW w:w="113" w:type="dxa"/>
            <w:tcBorders/>
            <w:shd w:fill="CCEEFF" w:val="clear"/>
            <w:vAlign w:val="center"/>
          </w:tcPr>
          <w:p>
            <w:pPr>
              <w:pStyle w:val="TableContents"/>
              <w:bidi w:val="0"/>
              <w:spacing w:before="0" w:after="283"/>
              <w:jc w:val="left"/>
              <w:rPr/>
            </w:pPr>
            <w:r>
              <w:rPr/>
              <w:t>)</w:t>
            </w:r>
            <w:bookmarkStart w:id="218" w:name="xdx_400_eus-gaap--NetIncomeLoss_z9ZlNicn"/>
            <w:bookmarkEnd w:id="218"/>
          </w:p>
        </w:tc>
      </w:tr>
      <w:tr>
        <w:trPr/>
        <w:tc>
          <w:tcPr>
            <w:tcW w:w="152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(2,318</w:t>
            </w:r>
          </w:p>
        </w:tc>
        <w:tc>
          <w:tcPr>
            <w:tcW w:w="113" w:type="dxa"/>
            <w:tcBorders/>
            <w:shd w:fill="FFFFFF" w:val="clear"/>
            <w:vAlign w:val="center"/>
          </w:tcPr>
          <w:p>
            <w:pPr>
              <w:pStyle w:val="TableContents"/>
              <w:bidi w:val="0"/>
              <w:spacing w:before="0" w:after="283"/>
              <w:jc w:val="left"/>
              <w:rPr/>
            </w:pPr>
            <w:r>
              <w:rPr/>
              <w:t>)</w:t>
            </w:r>
            <w:bookmarkStart w:id="219" w:name="xdx_43A_c20250701__20250930_eus-gaap--St"/>
            <w:bookmarkEnd w:id="219"/>
          </w:p>
        </w:tc>
      </w:tr>
      <w:tr>
        <w:trPr/>
        <w:tc>
          <w:tcPr>
            <w:tcW w:w="1526" w:type="dxa"/>
            <w:tcBorders/>
            <w:shd w:fill="CCEEFF" w:val="clear"/>
            <w:vAlign w:val="center"/>
          </w:tcPr>
          <w:p>
            <w:pPr>
              <w:pStyle w:val="TableContents"/>
              <w:bidi w:val="0"/>
              <w:spacing w:before="0" w:after="283"/>
              <w:jc w:val="left"/>
              <w:rPr>
                <w:b/>
              </w:rPr>
            </w:pPr>
            <w:r>
              <w:rPr>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0" w:name="xdx_987_eus-gaap--SharesOutstanding_iS_p"/>
            <w:bookmarkEnd w:id="220"/>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1" w:name="xdx_98A_eus-gaap--SharesOutstanding_iS_p"/>
            <w:bookmarkEnd w:id="22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2,591,171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290,443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(286,348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3,988</w:t>
            </w:r>
          </w:p>
        </w:tc>
        <w:tc>
          <w:tcPr>
            <w:tcW w:w="113" w:type="dxa"/>
            <w:tcBorders/>
            <w:shd w:fill="CCEEFF" w:val="clear"/>
            <w:vAlign w:val="center"/>
          </w:tcPr>
          <w:p>
            <w:pPr>
              <w:pStyle w:val="TableContents"/>
              <w:bidi w:val="0"/>
              <w:spacing w:before="0" w:after="283"/>
              <w:jc w:val="left"/>
              <w:rPr/>
            </w:pPr>
            <w:r>
              <w:rPr/>
              <w:t> </w:t>
            </w:r>
            <w:bookmarkStart w:id="222" w:name="xdx_43C_c20250701__20250930_eus-gaap--St"/>
            <w:bookmarkEnd w:id="222"/>
          </w:p>
        </w:tc>
      </w:tr>
      <w:tr>
        <w:trPr/>
        <w:tc>
          <w:tcPr>
            <w:tcW w:w="1526" w:type="dxa"/>
            <w:tcBorders/>
            <w:shd w:fill="FFFFFF" w:val="clear"/>
            <w:vAlign w:val="center"/>
          </w:tcPr>
          <w:p>
            <w:pPr>
              <w:pStyle w:val="TableContents"/>
              <w:bidi w:val="0"/>
              <w:spacing w:before="0" w:after="283"/>
              <w:jc w:val="left"/>
              <w:rPr>
                <w:b/>
              </w:rPr>
            </w:pPr>
            <w:r>
              <w:rPr>
                <w:b/>
              </w:rPr>
              <w:t xml:space="preserve">Balance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3" w:name="xdx_98C_eus-gaap--SharesOutstanding_iS_p"/>
            <w:bookmarkEnd w:id="223"/>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4" w:name="xdx_98B_eus-gaap--SharesOutstanding_iS_p"/>
            <w:bookmarkEnd w:id="22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2,591,171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290,443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(286,348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3,988</w:t>
            </w:r>
          </w:p>
        </w:tc>
        <w:tc>
          <w:tcPr>
            <w:tcW w:w="113" w:type="dxa"/>
            <w:tcBorders/>
            <w:shd w:fill="FFFFFF" w:val="clear"/>
            <w:vAlign w:val="center"/>
          </w:tcPr>
          <w:p>
            <w:pPr>
              <w:pStyle w:val="TableContents"/>
              <w:bidi w:val="0"/>
              <w:spacing w:before="0" w:after="283"/>
              <w:jc w:val="left"/>
              <w:rPr/>
            </w:pPr>
            <w:r>
              <w:rPr/>
              <w:t> </w:t>
            </w:r>
            <w:bookmarkStart w:id="225" w:name="xdx_401_eus-gaap--StockIssuedDuringPerio"/>
            <w:bookmarkEnd w:id="225"/>
          </w:p>
        </w:tc>
      </w:tr>
      <w:tr>
        <w:trPr/>
        <w:tc>
          <w:tcPr>
            <w:tcW w:w="1526"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2_eus-gaap--StockIssuedDuringPerio"/>
            <w:bookmarkEnd w:id="226"/>
          </w:p>
        </w:tc>
        <w:tc>
          <w:tcPr>
            <w:tcW w:w="980" w:type="dxa"/>
            <w:tcBorders/>
            <w:shd w:fill="FFFFFF" w:val="clear"/>
            <w:vAlign w:val="center"/>
          </w:tcPr>
          <w:p>
            <w:pPr>
              <w:pStyle w:val="TableContents"/>
              <w:bidi w:val="0"/>
              <w:spacing w:before="0" w:after="283"/>
              <w:jc w:val="right"/>
              <w:rPr/>
            </w:pPr>
            <w:r>
              <w:rPr/>
              <w:t>35,004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888</w:t>
            </w:r>
          </w:p>
        </w:tc>
        <w:tc>
          <w:tcPr>
            <w:tcW w:w="113" w:type="dxa"/>
            <w:tcBorders/>
            <w:shd w:fill="FFFFFF" w:val="clear"/>
            <w:vAlign w:val="center"/>
          </w:tcPr>
          <w:p>
            <w:pPr>
              <w:pStyle w:val="TableContents"/>
              <w:bidi w:val="0"/>
              <w:spacing w:before="0" w:after="283"/>
              <w:jc w:val="left"/>
              <w:rPr/>
            </w:pPr>
            <w:r>
              <w:rPr/>
              <w:t> </w:t>
            </w:r>
            <w:bookmarkStart w:id="227" w:name="xdx_409_ecustom--StockIssuedDuringPeriod"/>
            <w:bookmarkEnd w:id="227"/>
          </w:p>
        </w:tc>
      </w:tr>
      <w:tr>
        <w:trPr/>
        <w:tc>
          <w:tcPr>
            <w:tcW w:w="1526" w:type="dxa"/>
            <w:tcBorders/>
            <w:shd w:fill="CCEEFF" w:val="clear"/>
            <w:vAlign w:val="center"/>
          </w:tcPr>
          <w:p>
            <w:pPr>
              <w:pStyle w:val="TableContents"/>
              <w:bidi w:val="0"/>
              <w:spacing w:before="0" w:after="283"/>
              <w:jc w:val="left"/>
              <w:rPr/>
            </w:pPr>
            <w:r>
              <w:rPr/>
              <w:t>Issuance of common stock for business acquisition</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8" w:name="xdx_982_ecustom--StockIssuedDuringPeriod"/>
            <w:bookmarkEnd w:id="228"/>
          </w:p>
        </w:tc>
        <w:tc>
          <w:tcPr>
            <w:tcW w:w="980" w:type="dxa"/>
            <w:tcBorders/>
            <w:shd w:fill="CCEEFF" w:val="clear"/>
            <w:vAlign w:val="center"/>
          </w:tcPr>
          <w:p>
            <w:pPr>
              <w:pStyle w:val="TableContents"/>
              <w:bidi w:val="0"/>
              <w:spacing w:before="0" w:after="283"/>
              <w:jc w:val="right"/>
              <w:rPr/>
            </w:pPr>
            <w:r>
              <w:rPr/>
              <w:t>216,450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682</w:t>
            </w:r>
          </w:p>
        </w:tc>
        <w:tc>
          <w:tcPr>
            <w:tcW w:w="113" w:type="dxa"/>
            <w:tcBorders/>
            <w:shd w:fill="CCEEFF" w:val="clear"/>
            <w:vAlign w:val="center"/>
          </w:tcPr>
          <w:p>
            <w:pPr>
              <w:pStyle w:val="TableContents"/>
              <w:bidi w:val="0"/>
              <w:spacing w:before="0" w:after="283"/>
              <w:jc w:val="left"/>
              <w:rPr/>
            </w:pPr>
            <w:r>
              <w:rPr/>
              <w:t> </w:t>
            </w:r>
            <w:bookmarkStart w:id="229" w:name="xdx_402_ecustom--StockIssuedDuringPeriod"/>
            <w:bookmarkEnd w:id="229"/>
          </w:p>
        </w:tc>
      </w:tr>
      <w:tr>
        <w:trPr/>
        <w:tc>
          <w:tcPr>
            <w:tcW w:w="1526" w:type="dxa"/>
            <w:tcBorders/>
            <w:shd w:fill="FFFFFF" w:val="clear"/>
            <w:vAlign w:val="center"/>
          </w:tcPr>
          <w:p>
            <w:pPr>
              <w:pStyle w:val="TableContents"/>
              <w:bidi w:val="0"/>
              <w:spacing w:before="0" w:after="283"/>
              <w:jc w:val="left"/>
              <w:rPr/>
            </w:pPr>
            <w:r>
              <w:rPr/>
              <w:t>Issuance of common stock from the cashless exercise of warrants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0" w:name="xdx_989_ecustom--StockIssuedDuringPeriod"/>
            <w:bookmarkEnd w:id="230"/>
          </w:p>
        </w:tc>
        <w:tc>
          <w:tcPr>
            <w:tcW w:w="980" w:type="dxa"/>
            <w:tcBorders/>
            <w:shd w:fill="FFFFFF" w:val="clear"/>
            <w:vAlign w:val="center"/>
          </w:tcPr>
          <w:p>
            <w:pPr>
              <w:pStyle w:val="TableContents"/>
              <w:bidi w:val="0"/>
              <w:spacing w:before="0" w:after="283"/>
              <w:jc w:val="right"/>
              <w:rPr/>
            </w:pPr>
            <w:r>
              <w:rPr/>
              <w:t>128,000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1" w:name="xdx_403_eus-gaap--StockIssuedDuringPerio"/>
            <w:bookmarkEnd w:id="231"/>
          </w:p>
        </w:tc>
      </w:tr>
      <w:tr>
        <w:trPr/>
        <w:tc>
          <w:tcPr>
            <w:tcW w:w="1526" w:type="dxa"/>
            <w:tcBorders/>
            <w:shd w:fill="CCEEFF" w:val="clear"/>
            <w:vAlign w:val="center"/>
          </w:tcPr>
          <w:p>
            <w:pPr>
              <w:pStyle w:val="TableContents"/>
              <w:bidi w:val="0"/>
              <w:spacing w:before="0" w:after="283"/>
              <w:jc w:val="left"/>
              <w:rPr/>
            </w:pPr>
            <w:r>
              <w:rPr/>
              <w:t>Common stock and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F_eus-gaap--StockIssuedDuringPerio"/>
            <w:bookmarkEnd w:id="232"/>
          </w:p>
        </w:tc>
        <w:tc>
          <w:tcPr>
            <w:tcW w:w="980" w:type="dxa"/>
            <w:tcBorders/>
            <w:shd w:fill="CCEEFF" w:val="clear"/>
            <w:vAlign w:val="center"/>
          </w:tcPr>
          <w:p>
            <w:pPr>
              <w:pStyle w:val="TableContents"/>
              <w:bidi w:val="0"/>
              <w:spacing w:before="0" w:after="283"/>
              <w:jc w:val="right"/>
              <w:rPr/>
            </w:pPr>
            <w:r>
              <w:rPr/>
              <w:t>695,655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2,049</w:t>
            </w:r>
          </w:p>
        </w:tc>
        <w:tc>
          <w:tcPr>
            <w:tcW w:w="113" w:type="dxa"/>
            <w:tcBorders/>
            <w:shd w:fill="CCEEFF" w:val="clear"/>
            <w:vAlign w:val="center"/>
          </w:tcPr>
          <w:p>
            <w:pPr>
              <w:pStyle w:val="TableContents"/>
              <w:bidi w:val="0"/>
              <w:spacing w:before="0" w:after="283"/>
              <w:jc w:val="left"/>
              <w:rPr/>
            </w:pPr>
            <w:r>
              <w:rPr/>
              <w:t> </w:t>
            </w:r>
            <w:bookmarkStart w:id="233" w:name="xdx_407_eus-gaap--AdjustmentsToAdditiona"/>
            <w:bookmarkEnd w:id="233"/>
          </w:p>
        </w:tc>
      </w:tr>
      <w:tr>
        <w:trPr/>
        <w:tc>
          <w:tcPr>
            <w:tcW w:w="1526" w:type="dxa"/>
            <w:tcBorders/>
            <w:shd w:fill="FFFFFF" w:val="clear"/>
            <w:vAlign w:val="center"/>
          </w:tcPr>
          <w:p>
            <w:pPr>
              <w:pStyle w:val="TableContents"/>
              <w:bidi w:val="0"/>
              <w:spacing w:before="0" w:after="283"/>
              <w:jc w:val="left"/>
              <w:rPr/>
            </w:pPr>
            <w:r>
              <w:rPr/>
              <w:t>Deemed dividend related to warrant inducement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(6,719</w:t>
            </w:r>
          </w:p>
        </w:tc>
        <w:tc>
          <w:tcPr>
            <w:tcW w:w="113" w:type="dxa"/>
            <w:tcBorders/>
            <w:shd w:fill="FFFFFF" w:val="clear"/>
            <w:vAlign w:val="center"/>
          </w:tcPr>
          <w:p>
            <w:pPr>
              <w:pStyle w:val="TableContents"/>
              <w:bidi w:val="0"/>
              <w:spacing w:before="0" w:after="283"/>
              <w:jc w:val="left"/>
              <w:rPr/>
            </w:pPr>
            <w:r>
              <w:rPr/>
              <w:t>)</w:t>
            </w:r>
            <w:bookmarkStart w:id="234" w:name="xdx_40C_eus-gaap--AdjustmentsToAdditiona"/>
            <w:bookmarkEnd w:id="234"/>
          </w:p>
        </w:tc>
      </w:tr>
      <w:tr>
        <w:trPr/>
        <w:tc>
          <w:tcPr>
            <w:tcW w:w="1526" w:type="dxa"/>
            <w:tcBorders/>
            <w:shd w:fill="CCEEFF" w:val="clear"/>
            <w:vAlign w:val="center"/>
          </w:tcPr>
          <w:p>
            <w:pPr>
              <w:pStyle w:val="TableContents"/>
              <w:bidi w:val="0"/>
              <w:spacing w:before="0" w:after="283"/>
              <w:jc w:val="left"/>
              <w:rPr/>
            </w:pPr>
            <w:r>
              <w:rPr/>
              <w:t>Warrants issued for warrant inducement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6,719</w:t>
            </w:r>
          </w:p>
        </w:tc>
        <w:tc>
          <w:tcPr>
            <w:tcW w:w="113" w:type="dxa"/>
            <w:tcBorders/>
            <w:shd w:fill="CCEEFF" w:val="clear"/>
            <w:vAlign w:val="center"/>
          </w:tcPr>
          <w:p>
            <w:pPr>
              <w:pStyle w:val="TableContents"/>
              <w:bidi w:val="0"/>
              <w:spacing w:before="0" w:after="283"/>
              <w:jc w:val="left"/>
              <w:rPr/>
            </w:pPr>
            <w:r>
              <w:rPr/>
              <w:t> </w:t>
            </w:r>
            <w:bookmarkStart w:id="235" w:name="xdx_403_eus-gaap--NetIncomeLoss_z63bx2XS"/>
            <w:bookmarkEnd w:id="235"/>
          </w:p>
        </w:tc>
      </w:tr>
      <w:tr>
        <w:trPr/>
        <w:tc>
          <w:tcPr>
            <w:tcW w:w="152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(3,539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(3,539</w:t>
            </w:r>
          </w:p>
        </w:tc>
        <w:tc>
          <w:tcPr>
            <w:tcW w:w="113" w:type="dxa"/>
            <w:tcBorders/>
            <w:shd w:fill="FFFFFF" w:val="clear"/>
            <w:vAlign w:val="center"/>
          </w:tcPr>
          <w:p>
            <w:pPr>
              <w:pStyle w:val="TableContents"/>
              <w:bidi w:val="0"/>
              <w:spacing w:before="0" w:after="283"/>
              <w:jc w:val="left"/>
              <w:rPr/>
            </w:pPr>
            <w:r>
              <w:rPr/>
              <w:t>)</w:t>
            </w:r>
            <w:bookmarkStart w:id="236" w:name="xdx_431_c20250701__20250930_eus-gaap--St"/>
            <w:bookmarkEnd w:id="236"/>
          </w:p>
        </w:tc>
      </w:tr>
      <w:tr>
        <w:trPr/>
        <w:tc>
          <w:tcPr>
            <w:tcW w:w="1526" w:type="dxa"/>
            <w:tcBorders/>
            <w:shd w:fill="CCEEFF" w:val="clear"/>
            <w:vAlign w:val="center"/>
          </w:tcPr>
          <w:p>
            <w:pPr>
              <w:pStyle w:val="TableContents"/>
              <w:bidi w:val="0"/>
              <w:spacing w:before="0" w:after="283"/>
              <w:jc w:val="left"/>
              <w:rPr>
                <w:b/>
              </w:rPr>
            </w:pPr>
            <w:r>
              <w:rPr>
                <w:b/>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7" w:name="xdx_98C_eus-gaap--SharesOutstanding_iE_p"/>
            <w:bookmarkEnd w:id="237"/>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8" w:name="xdx_984_eus-gaap--SharesOutstanding_iE_p"/>
            <w:bookmarkEnd w:id="23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3,666,280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294,052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(289,887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4,068</w:t>
            </w:r>
          </w:p>
        </w:tc>
        <w:tc>
          <w:tcPr>
            <w:tcW w:w="113" w:type="dxa"/>
            <w:tcBorders/>
            <w:shd w:fill="CCEEFF" w:val="clear"/>
            <w:vAlign w:val="center"/>
          </w:tcPr>
          <w:p>
            <w:pPr>
              <w:pStyle w:val="TableContents"/>
              <w:bidi w:val="0"/>
              <w:spacing w:before="0" w:after="283"/>
              <w:jc w:val="left"/>
              <w:rPr/>
            </w:pPr>
            <w:r>
              <w:rPr/>
              <w:t> </w:t>
            </w:r>
            <w:bookmarkStart w:id="239" w:name="xdx_43E_c20250701__20250930_eus-gaap--St"/>
            <w:bookmarkEnd w:id="239"/>
          </w:p>
        </w:tc>
      </w:tr>
      <w:tr>
        <w:trPr/>
        <w:tc>
          <w:tcPr>
            <w:tcW w:w="1526"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0" w:name="xdx_98E_eus-gaap--SharesOutstanding_iE_p"/>
            <w:bookmarkEnd w:id="240"/>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pPr>
            <w:r>
              <w:rPr/>
              <w:t>249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1" w:name="xdx_983_eus-gaap--SharesOutstanding_iE_p"/>
            <w:bookmarkEnd w:id="24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3,666,280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294,052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(289,887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4,068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a_004"/>
      <w:bookmarkEnd w:id="242"/>
      <w:r>
        <w:rPr>
          <w:rFonts w:ascii="Times New Roman;Times;Serif" w:hAnsi="Times New Roman;Times;Serif"/>
          <w:b/>
          <w:i w:val="false"/>
          <w:caps w:val="false"/>
          <w:smallCaps w:val="false"/>
          <w:sz w:val="20"/>
        </w:rPr>
        <w:t>Condensed Consolidated Statements of Cash Flows -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3" w:name="xdx_30C_112_pn3n3_zQWDSpxhoS8"/>
      <w:bookmarkStart w:id="244" w:name="xdx_30C_112_pn3n3_zQWDSpxhoS8"/>
      <w:bookmarkEnd w:id="244"/>
    </w:p>
    <w:tbl>
      <w:tblPr>
        <w:tblW w:w="10205" w:type="dxa"/>
        <w:jc w:val="left"/>
        <w:tblInd w:w="0" w:type="dxa"/>
        <w:tblLayout w:type="fixed"/>
        <w:tblCellMar>
          <w:top w:w="0" w:type="dxa"/>
          <w:left w:w="0" w:type="dxa"/>
          <w:bottom w:w="0" w:type="dxa"/>
          <w:right w:w="0" w:type="dxa"/>
        </w:tblCellMar>
      </w:tblPr>
      <w:tblGrid>
        <w:gridCol w:w="8018"/>
        <w:gridCol w:w="60"/>
        <w:gridCol w:w="165"/>
        <w:gridCol w:w="751"/>
        <w:gridCol w:w="111"/>
        <w:gridCol w:w="70"/>
        <w:gridCol w:w="165"/>
        <w:gridCol w:w="751"/>
        <w:gridCol w:w="114"/>
      </w:tblGrid>
      <w:tr>
        <w:trPr/>
        <w:tc>
          <w:tcPr>
            <w:tcW w:w="8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5" w:name="xdx_499_20250101__20250930_z36ABbJwR5P5"/>
            <w:bookmarkEnd w:id="245"/>
          </w:p>
        </w:tc>
        <w:tc>
          <w:tcPr>
            <w:tcW w:w="9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246" w:name="xdx_491_20240101__20240930_zhDvBTVeq9h5"/>
            <w:bookmarkEnd w:id="246"/>
          </w:p>
        </w:tc>
        <w:tc>
          <w:tcPr>
            <w:tcW w:w="9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8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4" w:type="dxa"/>
            <w:tcBorders/>
            <w:vAlign w:val="center"/>
          </w:tcPr>
          <w:p>
            <w:pPr>
              <w:pStyle w:val="TableContents"/>
              <w:bidi w:val="0"/>
              <w:spacing w:before="0" w:after="283"/>
              <w:jc w:val="left"/>
              <w:rPr/>
            </w:pPr>
            <w:r>
              <w:rPr/>
              <w:t> </w:t>
            </w:r>
          </w:p>
        </w:tc>
      </w:tr>
      <w:tr>
        <w:trPr/>
        <w:tc>
          <w:tcPr>
            <w:tcW w:w="8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bookmarkStart w:id="247" w:name="xdx_40C_eus-gaap--NetCashProvidedByUsedI"/>
            <w:bookmarkEnd w:id="247"/>
          </w:p>
        </w:tc>
      </w:tr>
      <w:tr>
        <w:trPr/>
        <w:tc>
          <w:tcPr>
            <w:tcW w:w="8018"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48" w:name="xdx_40B_eus-gaap--NetIncomeLoss_i01_maCz"/>
            <w:bookmarkEnd w:id="248"/>
          </w:p>
        </w:tc>
      </w:tr>
      <w:tr>
        <w:trPr/>
        <w:tc>
          <w:tcPr>
            <w:tcW w:w="801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751" w:type="dxa"/>
            <w:tcBorders/>
            <w:shd w:fill="FFFFFF" w:val="clear"/>
            <w:vAlign w:val="center"/>
          </w:tcPr>
          <w:p>
            <w:pPr>
              <w:pStyle w:val="TableContents"/>
              <w:bidi w:val="0"/>
              <w:spacing w:before="0" w:after="283"/>
              <w:jc w:val="right"/>
              <w:rPr/>
            </w:pPr>
            <w:r>
              <w:rPr/>
              <w:t>(8,149</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751" w:type="dxa"/>
            <w:tcBorders/>
            <w:shd w:fill="FFFFFF" w:val="clear"/>
            <w:vAlign w:val="center"/>
          </w:tcPr>
          <w:p>
            <w:pPr>
              <w:pStyle w:val="TableContents"/>
              <w:bidi w:val="0"/>
              <w:spacing w:before="0" w:after="283"/>
              <w:jc w:val="right"/>
              <w:rPr/>
            </w:pPr>
            <w:r>
              <w:rPr/>
              <w:t>(9,329</w:t>
            </w:r>
          </w:p>
        </w:tc>
        <w:tc>
          <w:tcPr>
            <w:tcW w:w="114" w:type="dxa"/>
            <w:tcBorders/>
            <w:shd w:fill="FFFFFF" w:val="clear"/>
            <w:vAlign w:val="center"/>
          </w:tcPr>
          <w:p>
            <w:pPr>
              <w:pStyle w:val="TableContents"/>
              <w:bidi w:val="0"/>
              <w:spacing w:before="0" w:after="283"/>
              <w:jc w:val="left"/>
              <w:rPr/>
            </w:pPr>
            <w:r>
              <w:rPr/>
              <w:t>)</w:t>
            </w:r>
            <w:bookmarkStart w:id="249" w:name="xdx_405_eus-gaap--AdjustmentsToReconcile"/>
            <w:bookmarkEnd w:id="249"/>
          </w:p>
        </w:tc>
      </w:tr>
      <w:tr>
        <w:trPr/>
        <w:tc>
          <w:tcPr>
            <w:tcW w:w="801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50" w:name="xdx_408_eus-gaap--Depreciation_i02_maCzW"/>
            <w:bookmarkEnd w:id="250"/>
          </w:p>
        </w:tc>
      </w:tr>
      <w:tr>
        <w:trPr/>
        <w:tc>
          <w:tcPr>
            <w:tcW w:w="8018"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245</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727</w:t>
            </w:r>
          </w:p>
        </w:tc>
        <w:tc>
          <w:tcPr>
            <w:tcW w:w="114" w:type="dxa"/>
            <w:tcBorders/>
            <w:shd w:fill="FFFFFF" w:val="clear"/>
            <w:vAlign w:val="center"/>
          </w:tcPr>
          <w:p>
            <w:pPr>
              <w:pStyle w:val="TableContents"/>
              <w:bidi w:val="0"/>
              <w:spacing w:before="0" w:after="283"/>
              <w:jc w:val="left"/>
              <w:rPr/>
            </w:pPr>
            <w:r>
              <w:rPr/>
              <w:t> </w:t>
            </w:r>
            <w:bookmarkStart w:id="251" w:name="xdx_40D_eus-gaap--AssetImpairmentCharges"/>
            <w:bookmarkEnd w:id="251"/>
          </w:p>
        </w:tc>
      </w:tr>
      <w:tr>
        <w:trPr/>
        <w:tc>
          <w:tcPr>
            <w:tcW w:w="8018" w:type="dxa"/>
            <w:tcBorders/>
            <w:shd w:fill="CCEEFF" w:val="clear"/>
            <w:vAlign w:val="center"/>
          </w:tcPr>
          <w:p>
            <w:pPr>
              <w:pStyle w:val="TableContents"/>
              <w:bidi w:val="0"/>
              <w:spacing w:before="0" w:after="283"/>
              <w:jc w:val="left"/>
              <w:rPr/>
            </w:pPr>
            <w:r>
              <w:rPr/>
              <w:t>Impairment of Armor</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64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4,457</w:t>
            </w:r>
          </w:p>
        </w:tc>
        <w:tc>
          <w:tcPr>
            <w:tcW w:w="114" w:type="dxa"/>
            <w:tcBorders/>
            <w:shd w:fill="CCEEFF" w:val="clear"/>
            <w:vAlign w:val="center"/>
          </w:tcPr>
          <w:p>
            <w:pPr>
              <w:pStyle w:val="TableContents"/>
              <w:bidi w:val="0"/>
              <w:spacing w:before="0" w:after="283"/>
              <w:jc w:val="left"/>
              <w:rPr/>
            </w:pPr>
            <w:r>
              <w:rPr/>
              <w:t> </w:t>
            </w:r>
            <w:bookmarkStart w:id="252" w:name="xdx_400_eus-gaap--OperatingLeaseRightOfU"/>
            <w:bookmarkEnd w:id="252"/>
          </w:p>
        </w:tc>
      </w:tr>
      <w:tr>
        <w:trPr/>
        <w:tc>
          <w:tcPr>
            <w:tcW w:w="8018"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246</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428</w:t>
            </w:r>
          </w:p>
        </w:tc>
        <w:tc>
          <w:tcPr>
            <w:tcW w:w="114" w:type="dxa"/>
            <w:tcBorders/>
            <w:shd w:fill="FFFFFF" w:val="clear"/>
            <w:vAlign w:val="center"/>
          </w:tcPr>
          <w:p>
            <w:pPr>
              <w:pStyle w:val="TableContents"/>
              <w:bidi w:val="0"/>
              <w:spacing w:before="0" w:after="283"/>
              <w:jc w:val="left"/>
              <w:rPr/>
            </w:pPr>
            <w:r>
              <w:rPr/>
              <w:t> </w:t>
            </w:r>
            <w:bookmarkStart w:id="253" w:name="xdx_408_ecustom--LossOnDisposalOfSubsidi"/>
            <w:bookmarkEnd w:id="253"/>
          </w:p>
        </w:tc>
      </w:tr>
      <w:tr>
        <w:trPr/>
        <w:tc>
          <w:tcPr>
            <w:tcW w:w="8018" w:type="dxa"/>
            <w:tcBorders/>
            <w:shd w:fill="CCEEFF" w:val="clear"/>
            <w:vAlign w:val="center"/>
          </w:tcPr>
          <w:p>
            <w:pPr>
              <w:pStyle w:val="TableContents"/>
              <w:bidi w:val="0"/>
              <w:spacing w:before="0" w:after="283"/>
              <w:jc w:val="left"/>
              <w:rPr/>
            </w:pPr>
            <w:r>
              <w:rPr/>
              <w:t>Loss on disposal of subsidiary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25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54" w:name="xdx_40D_eus-gaap--AmortizationOfIntangib"/>
            <w:bookmarkEnd w:id="254"/>
          </w:p>
        </w:tc>
      </w:tr>
      <w:tr>
        <w:trPr/>
        <w:tc>
          <w:tcPr>
            <w:tcW w:w="8018"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11</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4</w:t>
            </w:r>
          </w:p>
        </w:tc>
        <w:tc>
          <w:tcPr>
            <w:tcW w:w="114" w:type="dxa"/>
            <w:tcBorders/>
            <w:shd w:fill="FFFFFF" w:val="clear"/>
            <w:vAlign w:val="center"/>
          </w:tcPr>
          <w:p>
            <w:pPr>
              <w:pStyle w:val="TableContents"/>
              <w:bidi w:val="0"/>
              <w:spacing w:before="0" w:after="283"/>
              <w:jc w:val="left"/>
              <w:rPr/>
            </w:pPr>
            <w:r>
              <w:rPr/>
              <w:t> </w:t>
            </w:r>
            <w:bookmarkStart w:id="255" w:name="xdx_40E_eus-gaap--ShareBasedCompensation"/>
            <w:bookmarkEnd w:id="255"/>
          </w:p>
        </w:tc>
      </w:tr>
      <w:tr>
        <w:trPr/>
        <w:tc>
          <w:tcPr>
            <w:tcW w:w="8018" w:type="dxa"/>
            <w:tcBorders/>
            <w:shd w:fill="CCEEFF" w:val="clear"/>
            <w:vAlign w:val="center"/>
          </w:tcPr>
          <w:p>
            <w:pPr>
              <w:pStyle w:val="TableContents"/>
              <w:bidi w:val="0"/>
              <w:spacing w:before="0" w:after="283"/>
              <w:jc w:val="left"/>
              <w:rPr/>
            </w:pPr>
            <w:r>
              <w:rPr/>
              <w:t>Stock based compensation - Employee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739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75</w:t>
            </w:r>
          </w:p>
        </w:tc>
        <w:tc>
          <w:tcPr>
            <w:tcW w:w="114" w:type="dxa"/>
            <w:tcBorders/>
            <w:shd w:fill="CCEEFF" w:val="clear"/>
            <w:vAlign w:val="center"/>
          </w:tcPr>
          <w:p>
            <w:pPr>
              <w:pStyle w:val="TableContents"/>
              <w:bidi w:val="0"/>
              <w:spacing w:before="0" w:after="283"/>
              <w:jc w:val="left"/>
              <w:rPr/>
            </w:pPr>
            <w:r>
              <w:rPr/>
              <w:t> </w:t>
            </w:r>
            <w:bookmarkStart w:id="256" w:name="xdx_409_ecustom--StockBasedCompensationN"/>
            <w:bookmarkEnd w:id="256"/>
          </w:p>
        </w:tc>
      </w:tr>
      <w:tr>
        <w:trPr/>
        <w:tc>
          <w:tcPr>
            <w:tcW w:w="8018" w:type="dxa"/>
            <w:tcBorders/>
            <w:shd w:fill="FFFFFF" w:val="clear"/>
            <w:vAlign w:val="center"/>
          </w:tcPr>
          <w:p>
            <w:pPr>
              <w:pStyle w:val="TableContents"/>
              <w:bidi w:val="0"/>
              <w:spacing w:before="0" w:after="283"/>
              <w:jc w:val="left"/>
              <w:rPr/>
            </w:pPr>
            <w:r>
              <w:rPr/>
              <w:t>Stock based compensation - Non-employee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606</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57" w:name="xdx_403_eus-gaap--DerivativeGainLossOnDe"/>
            <w:bookmarkEnd w:id="257"/>
          </w:p>
        </w:tc>
      </w:tr>
      <w:tr>
        <w:trPr/>
        <w:tc>
          <w:tcPr>
            <w:tcW w:w="8018"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166</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(3,459</w:t>
            </w:r>
          </w:p>
        </w:tc>
        <w:tc>
          <w:tcPr>
            <w:tcW w:w="114" w:type="dxa"/>
            <w:tcBorders/>
            <w:shd w:fill="CCEEFF" w:val="clear"/>
            <w:vAlign w:val="center"/>
          </w:tcPr>
          <w:p>
            <w:pPr>
              <w:pStyle w:val="TableContents"/>
              <w:bidi w:val="0"/>
              <w:spacing w:before="0" w:after="283"/>
              <w:jc w:val="left"/>
              <w:rPr/>
            </w:pPr>
            <w:r>
              <w:rPr/>
              <w:t>)</w:t>
            </w:r>
            <w:bookmarkStart w:id="258" w:name="xdx_40B_eus-gaap--ProvisionForDoubtfulAc"/>
            <w:bookmarkEnd w:id="258"/>
          </w:p>
        </w:tc>
      </w:tr>
      <w:tr>
        <w:trPr/>
        <w:tc>
          <w:tcPr>
            <w:tcW w:w="8018" w:type="dxa"/>
            <w:tcBorders/>
            <w:shd w:fill="FFFFFF" w:val="clear"/>
            <w:vAlign w:val="center"/>
          </w:tcPr>
          <w:p>
            <w:pPr>
              <w:pStyle w:val="TableContents"/>
              <w:bidi w:val="0"/>
              <w:spacing w:before="0" w:after="283"/>
              <w:jc w:val="left"/>
              <w:rPr/>
            </w:pPr>
            <w:r>
              <w:rPr/>
              <w:t>Bad debt (recoveries)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13</w:t>
            </w:r>
          </w:p>
        </w:tc>
        <w:tc>
          <w:tcPr>
            <w:tcW w:w="114" w:type="dxa"/>
            <w:tcBorders/>
            <w:shd w:fill="FFFFFF" w:val="clear"/>
            <w:vAlign w:val="center"/>
          </w:tcPr>
          <w:p>
            <w:pPr>
              <w:pStyle w:val="TableContents"/>
              <w:bidi w:val="0"/>
              <w:spacing w:before="0" w:after="283"/>
              <w:jc w:val="left"/>
              <w:rPr/>
            </w:pPr>
            <w:r>
              <w:rPr/>
              <w:t> </w:t>
            </w:r>
            <w:bookmarkStart w:id="259" w:name="xdx_40B_eus-gaap--GainLossOnSaleOfProper"/>
            <w:bookmarkEnd w:id="259"/>
          </w:p>
        </w:tc>
      </w:tr>
      <w:tr>
        <w:trPr/>
        <w:tc>
          <w:tcPr>
            <w:tcW w:w="8018" w:type="dxa"/>
            <w:tcBorders/>
            <w:shd w:fill="CCEEFF" w:val="clear"/>
            <w:vAlign w:val="center"/>
          </w:tcPr>
          <w:p>
            <w:pPr>
              <w:pStyle w:val="TableContents"/>
              <w:bidi w:val="0"/>
              <w:spacing w:before="0" w:after="283"/>
              <w:jc w:val="left"/>
              <w:rPr/>
            </w:pPr>
            <w:r>
              <w:rPr/>
              <w:t>Loss (gain) on disposal of equipment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(352</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 </w:t>
            </w:r>
            <w:bookmarkStart w:id="260" w:name="xdx_400_eus-gaap--IncreaseDecreaseInOper"/>
            <w:bookmarkEnd w:id="260"/>
          </w:p>
        </w:tc>
      </w:tr>
      <w:tr>
        <w:trPr/>
        <w:tc>
          <w:tcPr>
            <w:tcW w:w="801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61" w:name="xdx_40F_eus-gaap--IncreaseDecreaseInAcco"/>
            <w:bookmarkEnd w:id="261"/>
          </w:p>
        </w:tc>
      </w:tr>
      <w:tr>
        <w:trPr/>
        <w:tc>
          <w:tcPr>
            <w:tcW w:w="8018"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332</w:t>
            </w:r>
          </w:p>
        </w:tc>
        <w:tc>
          <w:tcPr>
            <w:tcW w:w="114" w:type="dxa"/>
            <w:tcBorders/>
            <w:shd w:fill="CCEEFF" w:val="clear"/>
            <w:vAlign w:val="center"/>
          </w:tcPr>
          <w:p>
            <w:pPr>
              <w:pStyle w:val="TableContents"/>
              <w:bidi w:val="0"/>
              <w:spacing w:before="0" w:after="283"/>
              <w:jc w:val="left"/>
              <w:rPr/>
            </w:pPr>
            <w:r>
              <w:rPr/>
              <w:t> </w:t>
            </w:r>
            <w:bookmarkStart w:id="262" w:name="xdx_404_eus-gaap--IncreaseDecreaseInPrep"/>
            <w:bookmarkEnd w:id="262"/>
          </w:p>
        </w:tc>
      </w:tr>
      <w:tr>
        <w:trPr/>
        <w:tc>
          <w:tcPr>
            <w:tcW w:w="801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70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241</w:t>
            </w:r>
          </w:p>
        </w:tc>
        <w:tc>
          <w:tcPr>
            <w:tcW w:w="114" w:type="dxa"/>
            <w:tcBorders/>
            <w:shd w:fill="FFFFFF" w:val="clear"/>
            <w:vAlign w:val="center"/>
          </w:tcPr>
          <w:p>
            <w:pPr>
              <w:pStyle w:val="TableContents"/>
              <w:bidi w:val="0"/>
              <w:spacing w:before="0" w:after="283"/>
              <w:jc w:val="left"/>
              <w:rPr/>
            </w:pPr>
            <w:r>
              <w:rPr/>
              <w:t> </w:t>
            </w:r>
            <w:bookmarkStart w:id="263" w:name="xdx_406_eus-gaap--IncreaseDecreaseInInve"/>
            <w:bookmarkEnd w:id="263"/>
          </w:p>
        </w:tc>
      </w:tr>
      <w:tr>
        <w:trPr/>
        <w:tc>
          <w:tcPr>
            <w:tcW w:w="801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110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171</w:t>
            </w:r>
          </w:p>
        </w:tc>
        <w:tc>
          <w:tcPr>
            <w:tcW w:w="114" w:type="dxa"/>
            <w:tcBorders/>
            <w:shd w:fill="CCEEFF" w:val="clear"/>
            <w:vAlign w:val="center"/>
          </w:tcPr>
          <w:p>
            <w:pPr>
              <w:pStyle w:val="TableContents"/>
              <w:bidi w:val="0"/>
              <w:spacing w:before="0" w:after="283"/>
              <w:jc w:val="left"/>
              <w:rPr/>
            </w:pPr>
            <w:r>
              <w:rPr/>
              <w:t> </w:t>
            </w:r>
            <w:bookmarkStart w:id="264" w:name="xdx_407_eus-gaap--IncreaseDecreaseInAcco"/>
            <w:bookmarkEnd w:id="264"/>
          </w:p>
        </w:tc>
      </w:tr>
      <w:tr>
        <w:trPr/>
        <w:tc>
          <w:tcPr>
            <w:tcW w:w="8018"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247</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(788</w:t>
            </w:r>
          </w:p>
        </w:tc>
        <w:tc>
          <w:tcPr>
            <w:tcW w:w="114" w:type="dxa"/>
            <w:tcBorders/>
            <w:shd w:fill="FFFFFF" w:val="clear"/>
            <w:vAlign w:val="center"/>
          </w:tcPr>
          <w:p>
            <w:pPr>
              <w:pStyle w:val="TableContents"/>
              <w:bidi w:val="0"/>
              <w:spacing w:before="0" w:after="283"/>
              <w:jc w:val="left"/>
              <w:rPr/>
            </w:pPr>
            <w:r>
              <w:rPr/>
              <w:t>)</w:t>
            </w:r>
            <w:bookmarkStart w:id="265" w:name="xdx_408_eus-gaap--IncreaseDecreaseInOthe"/>
            <w:bookmarkEnd w:id="265"/>
          </w:p>
        </w:tc>
      </w:tr>
      <w:tr>
        <w:trPr/>
        <w:tc>
          <w:tcPr>
            <w:tcW w:w="8018"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34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(2</w:t>
            </w:r>
          </w:p>
        </w:tc>
        <w:tc>
          <w:tcPr>
            <w:tcW w:w="114" w:type="dxa"/>
            <w:tcBorders/>
            <w:shd w:fill="CCEEFF" w:val="clear"/>
            <w:vAlign w:val="center"/>
          </w:tcPr>
          <w:p>
            <w:pPr>
              <w:pStyle w:val="TableContents"/>
              <w:bidi w:val="0"/>
              <w:spacing w:before="0" w:after="283"/>
              <w:jc w:val="left"/>
              <w:rPr/>
            </w:pPr>
            <w:r>
              <w:rPr/>
              <w:t>)</w:t>
            </w:r>
            <w:bookmarkStart w:id="266" w:name="xdx_40D_eus-gaap--IncreaseDecreaseInOper"/>
            <w:bookmarkEnd w:id="266"/>
          </w:p>
        </w:tc>
      </w:tr>
      <w:tr>
        <w:trPr/>
        <w:tc>
          <w:tcPr>
            <w:tcW w:w="8018" w:type="dxa"/>
            <w:tcBorders/>
            <w:shd w:fill="FFFFFF" w:val="clear"/>
            <w:vAlign w:val="center"/>
          </w:tcPr>
          <w:p>
            <w:pPr>
              <w:pStyle w:val="TableContents"/>
              <w:bidi w:val="0"/>
              <w:spacing w:before="0" w:after="283"/>
              <w:jc w:val="left"/>
              <w:rPr/>
            </w:pPr>
            <w:r>
              <w:rPr/>
              <w:t>Payments on operating lease liability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pPr>
            <w:r>
              <w:rPr/>
              <w:t>(396</w:t>
            </w:r>
          </w:p>
        </w:tc>
        <w:tc>
          <w:tcPr>
            <w:tcW w:w="114" w:type="dxa"/>
            <w:tcBorders/>
            <w:shd w:fill="FFFFFF" w:val="clear"/>
            <w:vAlign w:val="center"/>
          </w:tcPr>
          <w:p>
            <w:pPr>
              <w:pStyle w:val="TableContents"/>
              <w:bidi w:val="0"/>
              <w:spacing w:before="0" w:after="283"/>
              <w:jc w:val="left"/>
              <w:rPr/>
            </w:pPr>
            <w:r>
              <w:rPr/>
              <w:t>)</w:t>
            </w:r>
            <w:bookmarkStart w:id="267" w:name="xdx_40E_eus-gaap--NetCashProvidedByUsedI"/>
            <w:bookmarkEnd w:id="267"/>
          </w:p>
        </w:tc>
      </w:tr>
      <w:tr>
        <w:trPr/>
        <w:tc>
          <w:tcPr>
            <w:tcW w:w="801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(6,227</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(7,518</w:t>
            </w:r>
          </w:p>
        </w:tc>
        <w:tc>
          <w:tcPr>
            <w:tcW w:w="114" w:type="dxa"/>
            <w:tcBorders/>
            <w:shd w:fill="CCEEFF" w:val="clear"/>
            <w:vAlign w:val="center"/>
          </w:tcPr>
          <w:p>
            <w:pPr>
              <w:pStyle w:val="TableContents"/>
              <w:bidi w:val="0"/>
              <w:spacing w:before="0" w:after="283"/>
              <w:jc w:val="left"/>
              <w:rPr/>
            </w:pPr>
            <w:r>
              <w:rPr/>
              <w:t>)</w:t>
            </w:r>
            <w:bookmarkStart w:id="268" w:name="xdx_40F_eus-gaap--NetCashProvidedByUsedI"/>
            <w:bookmarkEnd w:id="268"/>
          </w:p>
        </w:tc>
      </w:tr>
      <w:tr>
        <w:trPr/>
        <w:tc>
          <w:tcPr>
            <w:tcW w:w="8018"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69" w:name="xdx_402_eus-gaap--PaymentsToAcquirePrope"/>
            <w:bookmarkEnd w:id="269"/>
          </w:p>
        </w:tc>
      </w:tr>
      <w:tr>
        <w:trPr/>
        <w:tc>
          <w:tcPr>
            <w:tcW w:w="801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(143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(544</w:t>
            </w:r>
          </w:p>
        </w:tc>
        <w:tc>
          <w:tcPr>
            <w:tcW w:w="114" w:type="dxa"/>
            <w:tcBorders/>
            <w:shd w:fill="CCEEFF" w:val="clear"/>
            <w:vAlign w:val="center"/>
          </w:tcPr>
          <w:p>
            <w:pPr>
              <w:pStyle w:val="TableContents"/>
              <w:bidi w:val="0"/>
              <w:spacing w:before="0" w:after="283"/>
              <w:jc w:val="left"/>
              <w:rPr/>
            </w:pPr>
            <w:r>
              <w:rPr/>
              <w:t>)</w:t>
            </w:r>
            <w:bookmarkStart w:id="270" w:name="xdx_40F_ecustom--ProceedsFromAcquisition"/>
            <w:bookmarkEnd w:id="270"/>
          </w:p>
        </w:tc>
      </w:tr>
      <w:tr>
        <w:trPr/>
        <w:tc>
          <w:tcPr>
            <w:tcW w:w="8018" w:type="dxa"/>
            <w:tcBorders/>
            <w:shd w:fill="FFFFFF" w:val="clear"/>
            <w:vAlign w:val="center"/>
          </w:tcPr>
          <w:p>
            <w:pPr>
              <w:pStyle w:val="TableContents"/>
              <w:bidi w:val="0"/>
              <w:spacing w:before="0" w:after="283"/>
              <w:jc w:val="left"/>
              <w:rPr/>
            </w:pPr>
            <w:r>
              <w:rPr/>
              <w:t>Proceeds from acquisition of Sinaptic Surgical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750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71" w:name="xdx_407_ecustom--ProceedsFromNotesReceiv"/>
            <w:bookmarkEnd w:id="271"/>
          </w:p>
        </w:tc>
      </w:tr>
      <w:tr>
        <w:trPr/>
        <w:tc>
          <w:tcPr>
            <w:tcW w:w="8018" w:type="dxa"/>
            <w:tcBorders/>
            <w:shd w:fill="CCEEFF" w:val="clear"/>
            <w:vAlign w:val="center"/>
          </w:tcPr>
          <w:p>
            <w:pPr>
              <w:pStyle w:val="TableContents"/>
              <w:bidi w:val="0"/>
              <w:spacing w:before="0" w:after="283"/>
              <w:jc w:val="left"/>
              <w:rPr/>
            </w:pPr>
            <w:r>
              <w:rPr/>
              <w:t>Proceeds from notes receivable, net of imputed interest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320</w:t>
            </w:r>
          </w:p>
        </w:tc>
        <w:tc>
          <w:tcPr>
            <w:tcW w:w="114" w:type="dxa"/>
            <w:tcBorders/>
            <w:shd w:fill="CCEEFF" w:val="clear"/>
            <w:vAlign w:val="center"/>
          </w:tcPr>
          <w:p>
            <w:pPr>
              <w:pStyle w:val="TableContents"/>
              <w:bidi w:val="0"/>
              <w:spacing w:before="0" w:after="283"/>
              <w:jc w:val="left"/>
              <w:rPr/>
            </w:pPr>
            <w:r>
              <w:rPr/>
              <w:t> </w:t>
            </w:r>
            <w:bookmarkStart w:id="272" w:name="xdx_40B_eus-gaap--ProceedsFromSaleOfProp"/>
            <w:bookmarkEnd w:id="272"/>
          </w:p>
        </w:tc>
      </w:tr>
      <w:tr>
        <w:trPr/>
        <w:tc>
          <w:tcPr>
            <w:tcW w:w="8018" w:type="dxa"/>
            <w:tcBorders/>
            <w:shd w:fill="FFFFFF" w:val="clear"/>
            <w:vAlign w:val="center"/>
          </w:tcPr>
          <w:p>
            <w:pPr>
              <w:pStyle w:val="TableContents"/>
              <w:bidi w:val="0"/>
              <w:spacing w:before="0" w:after="283"/>
              <w:jc w:val="left"/>
              <w:rPr/>
            </w:pPr>
            <w:r>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352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20</w:t>
            </w:r>
          </w:p>
        </w:tc>
        <w:tc>
          <w:tcPr>
            <w:tcW w:w="114" w:type="dxa"/>
            <w:tcBorders/>
            <w:shd w:fill="FFFFFF" w:val="clear"/>
            <w:vAlign w:val="center"/>
          </w:tcPr>
          <w:p>
            <w:pPr>
              <w:pStyle w:val="TableContents"/>
              <w:bidi w:val="0"/>
              <w:spacing w:before="0" w:after="283"/>
              <w:jc w:val="left"/>
              <w:rPr/>
            </w:pPr>
            <w:r>
              <w:rPr/>
              <w:t> </w:t>
            </w:r>
            <w:bookmarkStart w:id="273" w:name="xdx_40E_ecustom--DisposalOfPropertyAndEq"/>
            <w:bookmarkEnd w:id="273"/>
          </w:p>
        </w:tc>
      </w:tr>
      <w:tr>
        <w:trPr/>
        <w:tc>
          <w:tcPr>
            <w:tcW w:w="8018" w:type="dxa"/>
            <w:tcBorders/>
            <w:shd w:fill="CCEEFF" w:val="clear"/>
            <w:vAlign w:val="center"/>
          </w:tcPr>
          <w:p>
            <w:pPr>
              <w:pStyle w:val="TableContents"/>
              <w:bidi w:val="0"/>
              <w:spacing w:before="0" w:after="283"/>
              <w:jc w:val="left"/>
              <w:rPr/>
            </w:pPr>
            <w:r>
              <w:rPr/>
              <w:t>Disposal of property and equipment, net of cash received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74" w:name="xdx_401_eus-gaap--NetCashProvidedByUsedI"/>
            <w:bookmarkEnd w:id="274"/>
          </w:p>
        </w:tc>
      </w:tr>
      <w:tr>
        <w:trPr/>
        <w:tc>
          <w:tcPr>
            <w:tcW w:w="8018"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pPr>
            <w:r>
              <w:rPr/>
              <w:t>955</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pPr>
            <w:r>
              <w:rPr/>
              <w:t>(204</w:t>
            </w:r>
          </w:p>
        </w:tc>
        <w:tc>
          <w:tcPr>
            <w:tcW w:w="114" w:type="dxa"/>
            <w:tcBorders/>
            <w:shd w:fill="FFFFFF" w:val="clear"/>
            <w:vAlign w:val="center"/>
          </w:tcPr>
          <w:p>
            <w:pPr>
              <w:pStyle w:val="TableContents"/>
              <w:bidi w:val="0"/>
              <w:spacing w:before="0" w:after="283"/>
              <w:jc w:val="left"/>
              <w:rPr/>
            </w:pPr>
            <w:r>
              <w:rPr/>
              <w:t>)</w:t>
            </w:r>
            <w:bookmarkStart w:id="275" w:name="xdx_40C_eus-gaap--NetCashProvidedByUsedI"/>
            <w:bookmarkEnd w:id="275"/>
          </w:p>
        </w:tc>
      </w:tr>
      <w:tr>
        <w:trPr/>
        <w:tc>
          <w:tcPr>
            <w:tcW w:w="8018"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76" w:name="xdx_401_eus-gaap--ProceedsFromIssuanceOf"/>
            <w:bookmarkEnd w:id="276"/>
          </w:p>
        </w:tc>
      </w:tr>
      <w:tr>
        <w:trPr/>
        <w:tc>
          <w:tcPr>
            <w:tcW w:w="8018" w:type="dxa"/>
            <w:tcBorders/>
            <w:shd w:fill="FFFFFF" w:val="clear"/>
            <w:vAlign w:val="center"/>
          </w:tcPr>
          <w:p>
            <w:pPr>
              <w:pStyle w:val="TableContents"/>
              <w:bidi w:val="0"/>
              <w:spacing w:before="0" w:after="283"/>
              <w:jc w:val="left"/>
              <w:rPr/>
            </w:pPr>
            <w:r>
              <w:rPr/>
              <w:t>Proceeds from issuance of warrant derivative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3,366</w:t>
            </w:r>
          </w:p>
        </w:tc>
        <w:tc>
          <w:tcPr>
            <w:tcW w:w="114" w:type="dxa"/>
            <w:tcBorders/>
            <w:shd w:fill="FFFFFF" w:val="clear"/>
            <w:vAlign w:val="center"/>
          </w:tcPr>
          <w:p>
            <w:pPr>
              <w:pStyle w:val="TableContents"/>
              <w:bidi w:val="0"/>
              <w:spacing w:before="0" w:after="283"/>
              <w:jc w:val="left"/>
              <w:rPr/>
            </w:pPr>
            <w:r>
              <w:rPr/>
              <w:t> </w:t>
            </w:r>
            <w:bookmarkStart w:id="277" w:name="xdx_40B_eus-gaap--ProceedsFromIssuanceOf"/>
            <w:bookmarkEnd w:id="277"/>
          </w:p>
        </w:tc>
      </w:tr>
      <w:tr>
        <w:trPr/>
        <w:tc>
          <w:tcPr>
            <w:tcW w:w="8018" w:type="dxa"/>
            <w:tcBorders/>
            <w:shd w:fill="CCEEFF" w:val="clear"/>
            <w:vAlign w:val="center"/>
          </w:tcPr>
          <w:p>
            <w:pPr>
              <w:pStyle w:val="TableContents"/>
              <w:bidi w:val="0"/>
              <w:spacing w:before="0" w:after="283"/>
              <w:jc w:val="left"/>
              <w:rPr/>
            </w:pPr>
            <w:r>
              <w:rPr/>
              <w:t>Proceeds from issuance of common stock and prefunded warrants, net of cash fees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4,380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6,075</w:t>
            </w:r>
          </w:p>
        </w:tc>
        <w:tc>
          <w:tcPr>
            <w:tcW w:w="114" w:type="dxa"/>
            <w:tcBorders/>
            <w:shd w:fill="CCEEFF" w:val="clear"/>
            <w:vAlign w:val="center"/>
          </w:tcPr>
          <w:p>
            <w:pPr>
              <w:pStyle w:val="TableContents"/>
              <w:bidi w:val="0"/>
              <w:spacing w:before="0" w:after="283"/>
              <w:jc w:val="left"/>
              <w:rPr/>
            </w:pPr>
            <w:r>
              <w:rPr/>
              <w:t> </w:t>
            </w:r>
            <w:bookmarkStart w:id="278" w:name="xdx_40B_ecustom--ProceedsFromExerciseOfW"/>
            <w:bookmarkEnd w:id="278"/>
          </w:p>
        </w:tc>
      </w:tr>
      <w:tr>
        <w:trPr/>
        <w:tc>
          <w:tcPr>
            <w:tcW w:w="8018" w:type="dxa"/>
            <w:tcBorders/>
            <w:shd w:fill="FFFFFF" w:val="clear"/>
            <w:vAlign w:val="center"/>
          </w:tcPr>
          <w:p>
            <w:pPr>
              <w:pStyle w:val="TableContents"/>
              <w:bidi w:val="0"/>
              <w:spacing w:before="0" w:after="283"/>
              <w:jc w:val="left"/>
              <w:rPr/>
            </w:pPr>
            <w:r>
              <w:rPr/>
              <w:t>Proceeds from exercise of warrants, net of cash fees, and deposit for stock issuance (in other 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3,624</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79" w:name="xdx_40E_eus-gaap--PaymentsForRepurchaseO"/>
            <w:bookmarkEnd w:id="279"/>
          </w:p>
        </w:tc>
      </w:tr>
      <w:tr>
        <w:trPr/>
        <w:tc>
          <w:tcPr>
            <w:tcW w:w="8018" w:type="dxa"/>
            <w:tcBorders/>
            <w:shd w:fill="CCEEFF" w:val="clear"/>
            <w:vAlign w:val="center"/>
          </w:tcPr>
          <w:p>
            <w:pPr>
              <w:pStyle w:val="TableContents"/>
              <w:bidi w:val="0"/>
              <w:spacing w:before="0" w:after="283"/>
              <w:jc w:val="left"/>
              <w:rPr/>
            </w:pPr>
            <w:r>
              <w:rPr/>
              <w:t>Purchase of common stock into treasury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(133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80" w:name="xdx_404_ecustom--ProceedsFromIssuanceOfW"/>
            <w:bookmarkEnd w:id="280"/>
          </w:p>
        </w:tc>
      </w:tr>
      <w:tr>
        <w:trPr/>
        <w:tc>
          <w:tcPr>
            <w:tcW w:w="8018" w:type="dxa"/>
            <w:tcBorders/>
            <w:shd w:fill="FFFFFF" w:val="clear"/>
            <w:vAlign w:val="center"/>
          </w:tcPr>
          <w:p>
            <w:pPr>
              <w:pStyle w:val="TableContents"/>
              <w:bidi w:val="0"/>
              <w:spacing w:before="0" w:after="283"/>
              <w:jc w:val="left"/>
              <w:rPr/>
            </w:pPr>
            <w:r>
              <w:rPr/>
              <w:t>Proceeds from issuance of warrants in connection with exercise of warrants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206</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81" w:name="xdx_40F_ecustom--ProceedsFromIssuanceOfC"/>
            <w:bookmarkEnd w:id="281"/>
          </w:p>
        </w:tc>
      </w:tr>
      <w:tr>
        <w:trPr/>
        <w:tc>
          <w:tcPr>
            <w:tcW w:w="8018" w:type="dxa"/>
            <w:tcBorders/>
            <w:shd w:fill="CCEEFF" w:val="clear"/>
            <w:vAlign w:val="center"/>
          </w:tcPr>
          <w:p>
            <w:pPr>
              <w:pStyle w:val="TableContents"/>
              <w:bidi w:val="0"/>
              <w:spacing w:before="0" w:after="283"/>
              <w:jc w:val="left"/>
              <w:rPr/>
            </w:pPr>
            <w:r>
              <w:rPr/>
              <w:t>Proceeds from issuance of common stock in connection with exercise of warrants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2</w:t>
            </w:r>
          </w:p>
        </w:tc>
        <w:tc>
          <w:tcPr>
            <w:tcW w:w="114" w:type="dxa"/>
            <w:tcBorders/>
            <w:shd w:fill="CCEEFF" w:val="clear"/>
            <w:vAlign w:val="center"/>
          </w:tcPr>
          <w:p>
            <w:pPr>
              <w:pStyle w:val="TableContents"/>
              <w:bidi w:val="0"/>
              <w:spacing w:before="0" w:after="283"/>
              <w:jc w:val="left"/>
              <w:rPr/>
            </w:pPr>
            <w:r>
              <w:rPr/>
              <w:t> </w:t>
            </w:r>
            <w:bookmarkStart w:id="282" w:name="xdx_408_eus-gaap--RepaymentsOfDebt_i01N_"/>
            <w:bookmarkEnd w:id="282"/>
          </w:p>
        </w:tc>
      </w:tr>
      <w:tr>
        <w:trPr/>
        <w:tc>
          <w:tcPr>
            <w:tcW w:w="8018" w:type="dxa"/>
            <w:tcBorders/>
            <w:shd w:fill="FFFFFF" w:val="clear"/>
            <w:vAlign w:val="center"/>
          </w:tcPr>
          <w:p>
            <w:pPr>
              <w:pStyle w:val="TableContents"/>
              <w:bidi w:val="0"/>
              <w:spacing w:before="0" w:after="283"/>
              <w:jc w:val="left"/>
              <w:rPr/>
            </w:pPr>
            <w:r>
              <w:rPr/>
              <w:t>Payments on debt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14" w:type="dxa"/>
            <w:tcBorders/>
            <w:shd w:fill="FFFFFF" w:val="clear"/>
            <w:vAlign w:val="center"/>
          </w:tcPr>
          <w:p>
            <w:pPr>
              <w:pStyle w:val="TableContents"/>
              <w:bidi w:val="0"/>
              <w:spacing w:before="0" w:after="283"/>
              <w:jc w:val="left"/>
              <w:rPr/>
            </w:pPr>
            <w:r>
              <w:rPr/>
              <w:t>)</w:t>
            </w:r>
            <w:bookmarkStart w:id="283" w:name="xdx_407_eus-gaap--NetCashProvidedByUsedI"/>
            <w:bookmarkEnd w:id="283"/>
          </w:p>
        </w:tc>
      </w:tr>
      <w:tr>
        <w:trPr/>
        <w:tc>
          <w:tcPr>
            <w:tcW w:w="801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7,924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9,196</w:t>
            </w:r>
          </w:p>
        </w:tc>
        <w:tc>
          <w:tcPr>
            <w:tcW w:w="114" w:type="dxa"/>
            <w:tcBorders/>
            <w:shd w:fill="CCEEFF" w:val="clear"/>
            <w:vAlign w:val="center"/>
          </w:tcPr>
          <w:p>
            <w:pPr>
              <w:pStyle w:val="TableContents"/>
              <w:bidi w:val="0"/>
              <w:spacing w:before="0" w:after="283"/>
              <w:jc w:val="left"/>
              <w:rPr/>
            </w:pPr>
            <w:r>
              <w:rPr/>
              <w:t> </w:t>
            </w:r>
            <w:bookmarkStart w:id="284" w:name="xdx_40F_eus-gaap--CashCashEquivalentsRes"/>
            <w:bookmarkEnd w:id="284"/>
          </w:p>
        </w:tc>
      </w:tr>
      <w:tr>
        <w:trPr/>
        <w:tc>
          <w:tcPr>
            <w:tcW w:w="8018"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2,652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1,474</w:t>
            </w:r>
          </w:p>
        </w:tc>
        <w:tc>
          <w:tcPr>
            <w:tcW w:w="114" w:type="dxa"/>
            <w:tcBorders/>
            <w:shd w:fill="FFFFFF" w:val="clear"/>
            <w:vAlign w:val="center"/>
          </w:tcPr>
          <w:p>
            <w:pPr>
              <w:pStyle w:val="TableContents"/>
              <w:bidi w:val="0"/>
              <w:spacing w:before="0" w:after="283"/>
              <w:jc w:val="left"/>
              <w:rPr/>
            </w:pPr>
            <w:r>
              <w:rPr/>
              <w:t> </w:t>
            </w:r>
            <w:bookmarkStart w:id="285" w:name="xdx_400_eus-gaap--CashCashEquivalentsRes"/>
            <w:bookmarkEnd w:id="285"/>
          </w:p>
        </w:tc>
      </w:tr>
      <w:tr>
        <w:trPr/>
        <w:tc>
          <w:tcPr>
            <w:tcW w:w="8018"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3,598</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pPr>
            <w:r>
              <w:rPr/>
              <w:t>3,340</w:t>
            </w:r>
          </w:p>
        </w:tc>
        <w:tc>
          <w:tcPr>
            <w:tcW w:w="114" w:type="dxa"/>
            <w:tcBorders/>
            <w:shd w:fill="CCEEFF" w:val="clear"/>
            <w:vAlign w:val="center"/>
          </w:tcPr>
          <w:p>
            <w:pPr>
              <w:pStyle w:val="TableContents"/>
              <w:bidi w:val="0"/>
              <w:spacing w:before="0" w:after="283"/>
              <w:jc w:val="left"/>
              <w:rPr/>
            </w:pPr>
            <w:r>
              <w:rPr/>
              <w:t> </w:t>
            </w:r>
            <w:bookmarkStart w:id="286" w:name="xdx_40A_eus-gaap--CashCashEquivalentsRes"/>
            <w:bookmarkEnd w:id="286"/>
          </w:p>
        </w:tc>
      </w:tr>
      <w:tr>
        <w:trPr/>
        <w:tc>
          <w:tcPr>
            <w:tcW w:w="8018"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1" w:type="dxa"/>
            <w:tcBorders>
              <w:bottom w:val="double" w:sz="6" w:space="0" w:color="000000"/>
            </w:tcBorders>
            <w:shd w:fill="FFFFFF" w:val="clear"/>
            <w:tcMar>
              <w:bottom w:w="28" w:type="dxa"/>
            </w:tcMar>
            <w:vAlign w:val="center"/>
          </w:tcPr>
          <w:p>
            <w:pPr>
              <w:pStyle w:val="TableContents"/>
              <w:bidi w:val="0"/>
              <w:spacing w:before="0" w:after="283"/>
              <w:jc w:val="right"/>
              <w:rPr/>
            </w:pPr>
            <w:r>
              <w:rPr/>
              <w:t>6,250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1" w:type="dxa"/>
            <w:tcBorders>
              <w:bottom w:val="double" w:sz="6" w:space="0" w:color="000000"/>
            </w:tcBorders>
            <w:shd w:fill="FFFFFF" w:val="clear"/>
            <w:tcMar>
              <w:bottom w:w="28" w:type="dxa"/>
            </w:tcMar>
            <w:vAlign w:val="center"/>
          </w:tcPr>
          <w:p>
            <w:pPr>
              <w:pStyle w:val="TableContents"/>
              <w:bidi w:val="0"/>
              <w:spacing w:before="0" w:after="283"/>
              <w:jc w:val="right"/>
              <w:rPr/>
            </w:pPr>
            <w:r>
              <w:rPr/>
              <w:t>4,814</w:t>
            </w:r>
          </w:p>
        </w:tc>
        <w:tc>
          <w:tcPr>
            <w:tcW w:w="114"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87" w:name="xdx_40D_eus-gaap--CashFlowNoncashInvesti"/>
            <w:bookmarkEnd w:id="287"/>
          </w:p>
        </w:tc>
      </w:tr>
      <w:tr>
        <w:trPr/>
        <w:tc>
          <w:tcPr>
            <w:tcW w:w="8018"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88" w:name="xdx_406_ecustom--DebtIssuedForPrepaidIns"/>
            <w:bookmarkEnd w:id="288"/>
          </w:p>
        </w:tc>
      </w:tr>
      <w:tr>
        <w:trPr/>
        <w:tc>
          <w:tcPr>
            <w:tcW w:w="8018" w:type="dxa"/>
            <w:tcBorders/>
            <w:shd w:fill="CCEEFF" w:val="clear"/>
            <w:vAlign w:val="center"/>
          </w:tcPr>
          <w:p>
            <w:pPr>
              <w:pStyle w:val="TableContents"/>
              <w:bidi w:val="0"/>
              <w:spacing w:before="0" w:after="283"/>
              <w:jc w:val="left"/>
              <w:rPr/>
            </w:pPr>
            <w:r>
              <w:rPr/>
              <w:t>Debt issued for prepaid insurance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180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335</w:t>
            </w:r>
          </w:p>
        </w:tc>
        <w:tc>
          <w:tcPr>
            <w:tcW w:w="114" w:type="dxa"/>
            <w:tcBorders/>
            <w:shd w:fill="CCEEFF" w:val="clear"/>
            <w:vAlign w:val="center"/>
          </w:tcPr>
          <w:p>
            <w:pPr>
              <w:pStyle w:val="TableContents"/>
              <w:bidi w:val="0"/>
              <w:spacing w:before="0" w:after="283"/>
              <w:jc w:val="left"/>
              <w:rPr/>
            </w:pPr>
            <w:r>
              <w:rPr/>
              <w:t> </w:t>
            </w:r>
            <w:bookmarkStart w:id="289" w:name="xdx_40A_ecustom--DeemedDividendRelatedTo"/>
            <w:bookmarkEnd w:id="289"/>
          </w:p>
        </w:tc>
      </w:tr>
      <w:tr>
        <w:trPr/>
        <w:tc>
          <w:tcPr>
            <w:tcW w:w="8018" w:type="dxa"/>
            <w:tcBorders/>
            <w:shd w:fill="FFFFFF" w:val="clear"/>
            <w:vAlign w:val="center"/>
          </w:tcPr>
          <w:p>
            <w:pPr>
              <w:pStyle w:val="TableContents"/>
              <w:bidi w:val="0"/>
              <w:spacing w:before="0" w:after="283"/>
              <w:jc w:val="left"/>
              <w:rPr/>
            </w:pPr>
            <w:r>
              <w:rPr/>
              <w:t>Deemed dividend related to warrant inducement and issuance of warrants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6,719</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90" w:name="xdx_400_ecustom--AgentWarrantOfferingCos"/>
            <w:bookmarkEnd w:id="290"/>
          </w:p>
        </w:tc>
      </w:tr>
      <w:tr>
        <w:trPr/>
        <w:tc>
          <w:tcPr>
            <w:tcW w:w="8018" w:type="dxa"/>
            <w:tcBorders/>
            <w:shd w:fill="CCEEFF" w:val="clear"/>
            <w:vAlign w:val="center"/>
          </w:tcPr>
          <w:p>
            <w:pPr>
              <w:pStyle w:val="TableContents"/>
              <w:bidi w:val="0"/>
              <w:spacing w:before="0" w:after="283"/>
              <w:jc w:val="left"/>
              <w:rPr/>
            </w:pPr>
            <w:r>
              <w:rPr/>
              <w:t>Agent warrant offering cost allocated to equity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13</w:t>
            </w:r>
          </w:p>
        </w:tc>
        <w:tc>
          <w:tcPr>
            <w:tcW w:w="114" w:type="dxa"/>
            <w:tcBorders/>
            <w:shd w:fill="CCEEFF" w:val="clear"/>
            <w:vAlign w:val="center"/>
          </w:tcPr>
          <w:p>
            <w:pPr>
              <w:pStyle w:val="TableContents"/>
              <w:bidi w:val="0"/>
              <w:spacing w:before="0" w:after="283"/>
              <w:jc w:val="left"/>
              <w:rPr/>
            </w:pPr>
            <w:r>
              <w:rPr/>
              <w:t> </w:t>
            </w:r>
            <w:bookmarkStart w:id="291" w:name="xdx_40B_ecustom--RightOfUseAssetForAmend"/>
            <w:bookmarkEnd w:id="291"/>
          </w:p>
        </w:tc>
      </w:tr>
      <w:tr>
        <w:trPr/>
        <w:tc>
          <w:tcPr>
            <w:tcW w:w="8018" w:type="dxa"/>
            <w:tcBorders/>
            <w:shd w:fill="FFFFFF" w:val="clear"/>
            <w:vAlign w:val="center"/>
          </w:tcPr>
          <w:p>
            <w:pPr>
              <w:pStyle w:val="TableContents"/>
              <w:bidi w:val="0"/>
              <w:spacing w:before="0" w:after="283"/>
              <w:jc w:val="left"/>
              <w:rPr/>
            </w:pPr>
            <w:r>
              <w:rPr/>
              <w:t>Right of use asset for amended lease liability – increase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307</w:t>
            </w:r>
          </w:p>
        </w:tc>
        <w:tc>
          <w:tcPr>
            <w:tcW w:w="114" w:type="dxa"/>
            <w:tcBorders/>
            <w:shd w:fill="FFFFFF" w:val="clear"/>
            <w:vAlign w:val="center"/>
          </w:tcPr>
          <w:p>
            <w:pPr>
              <w:pStyle w:val="TableContents"/>
              <w:bidi w:val="0"/>
              <w:spacing w:before="0" w:after="283"/>
              <w:jc w:val="left"/>
              <w:rPr/>
            </w:pPr>
            <w:r>
              <w:rPr/>
              <w:t> </w:t>
            </w:r>
            <w:bookmarkStart w:id="292" w:name="xdx_40A_ecustom--ReductionOfDerivativeLi"/>
            <w:bookmarkEnd w:id="292"/>
          </w:p>
        </w:tc>
      </w:tr>
      <w:tr>
        <w:trPr/>
        <w:tc>
          <w:tcPr>
            <w:tcW w:w="8018" w:type="dxa"/>
            <w:tcBorders/>
            <w:shd w:fill="CCEEFF" w:val="clear"/>
            <w:vAlign w:val="center"/>
          </w:tcPr>
          <w:p>
            <w:pPr>
              <w:pStyle w:val="TableContents"/>
              <w:bidi w:val="0"/>
              <w:spacing w:before="0" w:after="283"/>
              <w:jc w:val="left"/>
              <w:rPr/>
            </w:pPr>
            <w:r>
              <w:rPr/>
              <w:t>Reduction of derivative liability upon exercise of warrants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w:t>
            </w:r>
          </w:p>
        </w:tc>
        <w:tc>
          <w:tcPr>
            <w:tcW w:w="114" w:type="dxa"/>
            <w:tcBorders/>
            <w:shd w:fill="CCEEFF" w:val="clear"/>
            <w:vAlign w:val="center"/>
          </w:tcPr>
          <w:p>
            <w:pPr>
              <w:pStyle w:val="TableContents"/>
              <w:bidi w:val="0"/>
              <w:spacing w:before="0" w:after="283"/>
              <w:jc w:val="left"/>
              <w:rPr/>
            </w:pPr>
            <w:r>
              <w:rPr/>
              <w:t> </w:t>
            </w:r>
            <w:bookmarkStart w:id="293" w:name="xdx_400_eus-gaap--SupplementalCashFlowIn"/>
            <w:bookmarkEnd w:id="293"/>
          </w:p>
        </w:tc>
      </w:tr>
      <w:tr>
        <w:trPr/>
        <w:tc>
          <w:tcPr>
            <w:tcW w:w="8018"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94" w:name="xdx_402_eus-gaap--InterestPaidNet_i01_z9"/>
            <w:bookmarkEnd w:id="294"/>
          </w:p>
        </w:tc>
      </w:tr>
      <w:tr>
        <w:trPr/>
        <w:tc>
          <w:tcPr>
            <w:tcW w:w="8018"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40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15</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5" w:name="a_005"/>
      <w:bookmarkEnd w:id="295"/>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6" w:name="xdx_80F_eus-gaap--OrganizationConsolidat"/>
      <w:bookmarkEnd w:id="296"/>
      <w:r>
        <w:rPr>
          <w:rFonts w:ascii="Times New Roman;Times;Serif" w:hAnsi="Times New Roman;Times;Serif"/>
          <w:b/>
          <w:i w:val="false"/>
          <w:caps w:val="false"/>
          <w:smallCaps w:val="false"/>
          <w:sz w:val="20"/>
        </w:rPr>
        <w:t xml:space="preserve">1. </w:t>
      </w:r>
      <w:bookmarkStart w:id="297" w:name="xdx_82B_zS7vhjhJ4BHg"/>
      <w:bookmarkEnd w:id="297"/>
      <w:r>
        <w:rPr>
          <w:rFonts w:ascii="Times New Roman;Times;Serif" w:hAnsi="Times New Roman;Times;Serif"/>
          <w:b/>
          <w:i w:val="false"/>
          <w:caps w:val="false"/>
          <w:smallCaps w:val="false"/>
          <w:sz w:val="20"/>
        </w:rPr>
        <w:t>Organization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SINTX Technologies, Inc. (“SINTX”, or the “Company”) and its wholly-owned subsidiaries, SINTX Armor, Inc. (“SINTX Armor”), SINTX Agribiotech, Inc., Sinaptic Surgical, LLC, and Technology Assessment and Transfer, Inc. (TA&amp;T) through February 19, 2025 (see Note 2), which are collectively referred to as “we” or the “Company.” SINTX Technologies is an advanced ceramics company formed in December 1996 that develops and commercializes materials, components, and technologies for medical and agribiotech applications. SINTX provides biomedical solutions for medical devices specializing in silicon nitride (Si₃N₄) for musculoskeletal and antipathogenic applications. SINTX is a global leader in the research, development, and manufacturing of silicon nitride, and its products have been implanted in humans since 2008.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Since its inception, SINTX has been focused on medical grade silicon nitride. SINTX biomedical products have been shown to 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More recently, in October 2025, SINTX received U.S. Food and Drug Administration (FDA) 510(k) clearance for the SiNAPTIC® Foot &amp; Ankle Osteotomy Wedge System, enabling SINTX’s commercial entry into reconstructive foot and ankle surgery in the United States. These next-generation implants blend cutting-edge biomaterials science with surgical precision and are designed to elevate standards in orthopedic procedures. SINTX silicon nitride products can be polished to a smooth and wear-resistant surface for articulating applications, such as bearings for hip and knee replacements.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Bacterial infection of any biomaterial implants is always a concern. SINTX silicon nitride has been shown to be resistant to bacterial colonization and biofilm formation, making it antibacterial.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Today, there is a global need to improve protection against pathogens in everyday life. SINTX believes that by 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 We presently manufacture advanced ceramic powders and components in our manufacturing facilities based in Salt Lake City,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SINTX Salt Lake City facility is registered with the FDA, is cGMP and ANVISA RDC 665 compliant, as well as being ISO 9001:2015, ISO 13485:2016 certified, and ASD9100D certified. The Company’s products are primarily sold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98" w:name="xdx_865_zM9ZRSJ0aNFc"/>
      <w:bookmarkStart w:id="299" w:name="xdx_84C_eus-gaap--BasisOfAccountingPolic"/>
      <w:bookmarkEnd w:id="298"/>
      <w:bookmarkEnd w:id="299"/>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have been prepared in accordance with the rules and regulations of the United States Securities and Exchange Commission (“SEC”) and include all assets and liabilities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and regulations allow the omission of certain information and footnote disclosures normally included in financial statements prepared in accordance with U.S. generally accepted accounting principles (“U.S. GAAP”) so long as the statements are not misleading. In the opinion of management, these financial statements and accompanying notes contain all adjustments (consisting of normal recurring adjustments) necessary to present fairly the financial position and results of operations for the periods presented herein. These condensed consolidated financial statements should be read in conjunction with the consolidated audited financial statements and notes thereto contained in the Company’s Annual Report on Form 10-K for the year ended December 31, 2024, filed with the SEC on March 19, 2025. The results of operations for the nine months ended September 30, 2025, are not necessarily indicative of the results to be expected for the year ending December 31, 2025. The Company’s significant accounting policies are set forth in Note 1 to the consolidated financial statements in its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300" w:name="xdx_865_zZ1O4fOKie5d"/>
      <w:bookmarkStart w:id="301" w:name="xdx_841_eus-gaap--SegmentReportingPolicy"/>
      <w:bookmarkEnd w:id="300"/>
      <w:bookmarkEnd w:id="301"/>
      <w:r>
        <w:rPr>
          <w:rFonts w:ascii="Times New Roman;Times;Serif" w:hAnsi="Times New Roman;Times;Serif"/>
          <w:b w:val="false"/>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302" w:name="xdx_902_eus-gaap--NumberOfOperatingSegme"/>
      <w:bookmarkEnd w:id="302"/>
      <w:r>
        <w:rPr>
          <w:rFonts w:ascii="Times New Roman;Times;Serif" w:hAnsi="Times New Roman;Times;Serif"/>
          <w:b w:val="false"/>
          <w:i w:val="false"/>
          <w:caps w:val="false"/>
          <w:smallCaps w:val="false"/>
          <w:sz w:val="20"/>
        </w:rPr>
        <w:t>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condensed consolidated statements of operations and comprehensive loss. Because the Company operates as one operating segment, financial segment information, including expense and asset information, can be found in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303" w:name="xdx_869_zSxYE7Ps46qi"/>
      <w:bookmarkStart w:id="304" w:name="xdx_84F_ecustom--ReverseStockSplitPolicy"/>
      <w:bookmarkEnd w:id="303"/>
      <w:bookmarkEnd w:id="304"/>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2024, the Company effected a </w:t>
      </w:r>
      <w:bookmarkStart w:id="305" w:name="xdx_908_eus-gaap--StockholdersEquityReve"/>
      <w:bookmarkEnd w:id="305"/>
      <w:r>
        <w:rPr>
          <w:rFonts w:ascii="Times New Roman;Times;Serif" w:hAnsi="Times New Roman;Times;Serif"/>
          <w:b w:val="false"/>
          <w:i w:val="false"/>
          <w:caps w:val="false"/>
          <w:smallCaps w:val="false"/>
          <w:sz w:val="20"/>
        </w:rPr>
        <w:t>1-for-200 reverse stock split of the Company’s common stock. The par value and the authorized shares of the common and preferred stock were not adjusted as a result of the reverse stock split. All common stock shares, equivalents, and per-share amounts for all periods presented in these condensed consolidated financial statements have been adjusted retroactively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6" w:name="xdx_862_zzqhj3AGRkad"/>
      <w:bookmarkStart w:id="307" w:name="xdx_845_eus-gaap--UseOfEstimates_zVZ61hP"/>
      <w:bookmarkEnd w:id="306"/>
      <w:bookmarkEnd w:id="307"/>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period. Actual results could differ from those estimates. As of September 30, 2025, the most significant estimate relates to derivative liabilities relating to common stock warrants.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308" w:name="xdx_86E_zz5zs8fr4m6a"/>
      <w:bookmarkStart w:id="309" w:name="xdx_847_eus-gaap--PriorPeriodReclassific"/>
      <w:bookmarkEnd w:id="308"/>
      <w:bookmarkEnd w:id="309"/>
      <w:r>
        <w:rPr>
          <w:rFonts w:ascii="Times New Roman;Times;Serif" w:hAnsi="Times New Roman;Times;Serif"/>
          <w:b w:val="false"/>
          <w:i/>
          <w:caps w:val="false"/>
          <w:smallCaps w:val="false"/>
          <w:sz w:val="20"/>
        </w:rPr>
        <w:t>Reclassification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prior period balances have been reclassified to conform to the current period presentation.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310" w:name="xdx_861_zixBsgInzhrh"/>
      <w:bookmarkStart w:id="311" w:name="xdx_841_ecustom--LiquidityAndCapitalReso"/>
      <w:bookmarkEnd w:id="310"/>
      <w:bookmarkEnd w:id="311"/>
      <w:r>
        <w:rPr>
          <w:rFonts w:ascii="Times New Roman;Times;Serif" w:hAnsi="Times New Roman;Times;Serif"/>
          <w:b w:val="false"/>
          <w:i/>
          <w:caps w:val="false"/>
          <w:smallCaps w:val="false"/>
          <w:sz w:val="20"/>
        </w:rPr>
        <w:t xml:space="preserve">Liquidity and capital resources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to operate as a going concern. To date, the Company’s operations have been principally financed from proceeds from the issuance of preferred and common stock and, to a lesser extent, cash generated from product sales. It is anticipated that the Company will continue to generate operating losses and use cash in operations. The Company’s continuation as a going concern is dependent upon its ability to increase sales, decrease expenses and raise additional funding. We continue to seek opportunities to raise additional funding through equity and/or debt financing. However, such funding is not guaranteed and may not be available to the Company on favorable terms and may involve restrictive covenants. If the Company is not able to obtain additional debt or equity financing, the impact on the Company will be material and adverse.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together with management, remains focused on advancing the Company’s business strategy and focus. We are concentrating our resources on high-growth areas within the healthcare sector where our proprietary materials and technologies—such as silicon nitride—provide a distinct competitive advantage due to their unique strength, durability, and biocompatibility. Through this transformation, as demonstrated by the recent FDA 510(k) clearance of our SiNAPTIC® Foot &amp; Ankle Osteotomy Wedge System, our aim is to deliver meaningful innovations to the medical community. By focusing on partnerships and collaborations with healthcare institutions and industry leaders, SINTX is positioned to expand its footprint in the medical device sector and drive shareholder value through sustainable, high-impact innovations.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2024, the board of directors approved a plan to implement a Company-wide reduction in the workforce. This decision was part of the Company’s ongoing strategic review of its operations aimed at improving operational efficiency and reducing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board of directors approved a plan to cease efforts to make the armor plant operational. This decision was made to streamline operations and focus on core business areas that align with the Company’s long-term strategic goals. The armor plant had not been fully operational since the acquisition of the armor equipment in July 2021 and had been completely shut down since October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to the condensed consolidated financial statements, on February 19, 2025, the Company sold to Tethon all the issued and outstanding shares of TA&amp;T in exchange for the assumption by Tethon of the outstanding liabilities of TA&amp;T.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further detail above, in October 2025, the Company received FDA 510(k) clearance for a new foot and ankle osteotomy wedge system, enabling SINTX’s commercial entry into reconstructive foot and ankle surgery in the United States. Revenue is expected to begin during the first half of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14 to the condensed consolidated financial statements, in October 2025, the Company entered into the 2025 ATM Agreement to sell shares of its common stock from time to time, through an “at the market offering” program, having an aggregate offering price of $</w:t>
      </w:r>
      <w:bookmarkStart w:id="312" w:name="xdx_905_eus-gaap--SaleOfStockConsiderati"/>
      <w:bookmarkEnd w:id="312"/>
      <w:r>
        <w:rPr>
          <w:rFonts w:ascii="Times New Roman;Times;Serif" w:hAnsi="Times New Roman;Times;Serif"/>
          <w:b w:val="false"/>
          <w:i w:val="false"/>
          <w:caps w:val="false"/>
          <w:smallCaps w:val="false"/>
          <w:sz w:val="20"/>
        </w:rPr>
        <w:t>6,413,876 was filed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12 to the condensed consolidated financial statements, in October 2025, the Company entered into a sublease agreement to lease the SINTX armor facility, that is expected to save the Company approximately $</w:t>
      </w:r>
      <w:bookmarkStart w:id="313" w:name="xdx_901_eus-gaap--SubleaseIncome_c202510"/>
      <w:bookmarkEnd w:id="313"/>
      <w:r>
        <w:rPr>
          <w:rFonts w:ascii="Times New Roman;Times;Serif" w:hAnsi="Times New Roman;Times;Serif"/>
          <w:b w:val="false"/>
          <w:i w:val="false"/>
          <w:caps w:val="false"/>
          <w:smallCaps w:val="false"/>
          <w:sz w:val="20"/>
        </w:rPr>
        <w:t>950,000 over the sublease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based on its existing capital resources and funds generated by operations, there is no significant uncertainty of the Company’s ability to continue as a going concern through at least November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14" w:name="xdx_860_zkM3altzw339"/>
      <w:bookmarkStart w:id="315" w:name="xdx_842_eus-gaap--NewAccountingPronounce"/>
      <w:bookmarkEnd w:id="314"/>
      <w:bookmarkEnd w:id="315"/>
      <w:r>
        <w:rPr>
          <w:rFonts w:ascii="Times New Roman;Times;Serif" w:hAnsi="Times New Roman;Times;Serif"/>
          <w:b w:val="false"/>
          <w:i/>
          <w:caps w:val="false"/>
          <w:smallCaps w:val="false"/>
          <w:sz w:val="20"/>
        </w:rPr>
        <w:t xml:space="preserve">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2023-09, Income Taxes (Topic 740): Improvements to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2024-03, Income Statement—Reporting Comprehensive Income (Topic 220): Disaggregation of Income Statement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recently issued accounting standards, other than the above discussed, will not have a material impact on its consolidated financial position, results of operations or cash flows.</w:t>
      </w:r>
    </w:p>
    <w:p>
      <w:pPr>
        <w:pStyle w:val="TextBody"/>
        <w:bidi w:val="0"/>
        <w:spacing w:before="0" w:after="0"/>
        <w:ind w:left="0" w:right="0" w:hanging="0"/>
        <w:jc w:val="both"/>
        <w:rPr>
          <w:caps w:val="false"/>
          <w:smallCaps w:val="false"/>
        </w:rPr>
      </w:pPr>
      <w:bookmarkStart w:id="316" w:name="xdx_855_zQxIYlgiATMd"/>
      <w:bookmarkEnd w:id="316"/>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01_eus-gaap--DisposalGroupsIncludin"/>
      <w:bookmarkEnd w:id="317"/>
      <w:r>
        <w:rPr>
          <w:rFonts w:ascii="Times New Roman;Times;Serif" w:hAnsi="Times New Roman;Times;Serif"/>
          <w:b/>
          <w:i w:val="false"/>
          <w:caps w:val="false"/>
          <w:smallCaps w:val="false"/>
          <w:sz w:val="20"/>
        </w:rPr>
        <w:t xml:space="preserve">2. </w:t>
      </w:r>
      <w:bookmarkStart w:id="318" w:name="xdx_82C_zNKqt9wTExRh"/>
      <w:bookmarkEnd w:id="318"/>
      <w:r>
        <w:rPr>
          <w:rFonts w:ascii="Times New Roman;Times;Serif" w:hAnsi="Times New Roman;Times;Serif"/>
          <w:b/>
          <w:i w:val="false"/>
          <w:caps w:val="false"/>
          <w:smallCaps w:val="false"/>
          <w:sz w:val="20"/>
        </w:rPr>
        <w:t>Disposition of TA&amp;T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2025, the Company entered into an Entity Acquisition Agreement (the “Agreement”) with Tethon Corporation (“Tethon”), pursuant to which the Company sold to Tethon all the issued and outstanding shares of TA&amp;T in exchange for the assumption by Tethon of the outstanding liabilities of TA&amp;T. The disposal did not represent a strategic shift that will have a major effect on the Company’s operations and financials and, therefore, did not qualify for discontinued operations treatment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91_eus-gaap--ScheduleOfDisposalGrou"/>
      <w:bookmarkEnd w:id="319"/>
      <w:r>
        <w:rPr>
          <w:rFonts w:ascii="Times New Roman;Times;Serif" w:hAnsi="Times New Roman;Times;Serif"/>
          <w:b w:val="false"/>
          <w:i w:val="false"/>
          <w:caps w:val="false"/>
          <w:smallCaps w:val="false"/>
          <w:sz w:val="20"/>
        </w:rPr>
        <w:t>The following table summarizes the carrying amounts of the major classes of assets and liabilities of TA&amp;T at the date of sale that were transferred to the Tethon (in thousands):</w:t>
      </w:r>
    </w:p>
    <w:p>
      <w:pPr>
        <w:pStyle w:val="TextBody"/>
        <w:bidi w:val="0"/>
        <w:spacing w:before="0" w:after="0"/>
        <w:ind w:left="0" w:right="0" w:hanging="0"/>
        <w:jc w:val="both"/>
        <w:rPr>
          <w:caps w:val="false"/>
          <w:smallCaps w:val="false"/>
        </w:rPr>
      </w:pPr>
      <w:r>
        <w:rPr>
          <w:caps w:val="false"/>
          <w:smallCaps w:val="false"/>
        </w:rPr>
        <w:t> </w:t>
      </w:r>
      <w:bookmarkStart w:id="320" w:name="xdx_8B7_zB6H6Mcf9qI7"/>
      <w:bookmarkEnd w:id="320"/>
      <w:r>
        <w:rPr>
          <w:rFonts w:ascii="Times New Roman;Times;Serif" w:hAnsi="Times New Roman;Times;Serif"/>
          <w:b w:val="false"/>
          <w:i w:val="false"/>
          <w:caps w:val="false"/>
          <w:smallCaps w:val="false"/>
          <w:sz w:val="20"/>
        </w:rPr>
        <w:t>Schedule of Major Classes of Assets and Liabilities of TA &amp; T at the Date of Sale</w:t>
      </w:r>
    </w:p>
    <w:tbl>
      <w:tblPr>
        <w:tblW w:w="4769" w:type="dxa"/>
        <w:jc w:val="left"/>
        <w:tblInd w:w="0" w:type="dxa"/>
        <w:tblLayout w:type="fixed"/>
        <w:tblCellMar>
          <w:top w:w="0" w:type="dxa"/>
          <w:left w:w="0" w:type="dxa"/>
          <w:bottom w:w="0" w:type="dxa"/>
          <w:right w:w="0" w:type="dxa"/>
        </w:tblCellMar>
      </w:tblPr>
      <w:tblGrid>
        <w:gridCol w:w="2705"/>
        <w:gridCol w:w="60"/>
        <w:gridCol w:w="445"/>
        <w:gridCol w:w="1449"/>
        <w:gridCol w:w="110"/>
      </w:tblGrid>
      <w:tr>
        <w:trPr/>
        <w:tc>
          <w:tcPr>
            <w:tcW w:w="27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21" w:name="xdx_498_20250219_zIrOz53Jut96"/>
            <w:bookmarkEnd w:id="321"/>
          </w:p>
        </w:tc>
        <w:tc>
          <w:tcPr>
            <w:tcW w:w="18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February 19, 2025</w:t>
            </w:r>
          </w:p>
        </w:tc>
        <w:tc>
          <w:tcPr>
            <w:tcW w:w="110" w:type="dxa"/>
            <w:tcBorders/>
            <w:vAlign w:val="center"/>
          </w:tcPr>
          <w:p>
            <w:pPr>
              <w:pStyle w:val="TableContents"/>
              <w:bidi w:val="0"/>
              <w:spacing w:before="0" w:after="283"/>
              <w:jc w:val="left"/>
              <w:rPr/>
            </w:pPr>
            <w:r>
              <w:rPr/>
              <w:t> </w:t>
            </w:r>
            <w:bookmarkStart w:id="322" w:name="xdx_400_eus-gaap--CashAndCashEquivalents"/>
            <w:bookmarkEnd w:id="322"/>
          </w:p>
        </w:tc>
      </w:tr>
      <w:tr>
        <w:trPr/>
        <w:tc>
          <w:tcPr>
            <w:tcW w:w="270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323" w:name="xdx_40E_eus-gaap--InventoryNet_iI_pn3n3_"/>
            <w:bookmarkEnd w:id="323"/>
          </w:p>
        </w:tc>
      </w:tr>
      <w:tr>
        <w:trPr/>
        <w:tc>
          <w:tcPr>
            <w:tcW w:w="2705" w:type="dxa"/>
            <w:tcBorders/>
            <w:shd w:fill="FFFFFF" w:val="clear"/>
            <w:vAlign w:val="center"/>
          </w:tcPr>
          <w:p>
            <w:pPr>
              <w:pStyle w:val="TableContents"/>
              <w:bidi w:val="0"/>
              <w:spacing w:before="0" w:after="283"/>
              <w:jc w:val="both"/>
              <w:rPr/>
            </w:pPr>
            <w:r>
              <w:rPr/>
              <w:t>Inventories</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324" w:name="xdx_400_eus-gaap--AccountsReceivableNet_"/>
            <w:bookmarkEnd w:id="324"/>
          </w:p>
        </w:tc>
      </w:tr>
      <w:tr>
        <w:trPr/>
        <w:tc>
          <w:tcPr>
            <w:tcW w:w="270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 </w:t>
            </w:r>
            <w:bookmarkStart w:id="325" w:name="xdx_405_eus-gaap--OperatingLeaseRightOfU"/>
            <w:bookmarkEnd w:id="325"/>
          </w:p>
        </w:tc>
      </w:tr>
      <w:tr>
        <w:trPr/>
        <w:tc>
          <w:tcPr>
            <w:tcW w:w="2705" w:type="dxa"/>
            <w:tcBorders/>
            <w:shd w:fill="FFFFFF" w:val="clear"/>
            <w:vAlign w:val="center"/>
          </w:tcPr>
          <w:p>
            <w:pPr>
              <w:pStyle w:val="TableContents"/>
              <w:bidi w:val="0"/>
              <w:spacing w:before="0" w:after="283"/>
              <w:jc w:val="both"/>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bookmarkStart w:id="326" w:name="xdx_401_eus-gaap--PropertyPlantAndEquipm"/>
            <w:bookmarkEnd w:id="326"/>
          </w:p>
        </w:tc>
      </w:tr>
      <w:tr>
        <w:trPr/>
        <w:tc>
          <w:tcPr>
            <w:tcW w:w="2705"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248</w:t>
            </w:r>
          </w:p>
        </w:tc>
        <w:tc>
          <w:tcPr>
            <w:tcW w:w="110" w:type="dxa"/>
            <w:tcBorders/>
            <w:shd w:fill="CCEEFF" w:val="clear"/>
            <w:vAlign w:val="center"/>
          </w:tcPr>
          <w:p>
            <w:pPr>
              <w:pStyle w:val="TableContents"/>
              <w:bidi w:val="0"/>
              <w:spacing w:before="0" w:after="283"/>
              <w:jc w:val="left"/>
              <w:rPr/>
            </w:pPr>
            <w:r>
              <w:rPr/>
              <w:t> </w:t>
            </w:r>
            <w:bookmarkStart w:id="327" w:name="xdx_40F_eus-gaap--OtherAssets_iI_pn3n3_m"/>
            <w:bookmarkEnd w:id="327"/>
          </w:p>
        </w:tc>
      </w:tr>
      <w:tr>
        <w:trPr/>
        <w:tc>
          <w:tcPr>
            <w:tcW w:w="2705"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bookmarkStart w:id="328" w:name="xdx_409_eus-gaap--Assets_iTI_pn3n3_mtAzI"/>
            <w:bookmarkEnd w:id="328"/>
          </w:p>
        </w:tc>
      </w:tr>
      <w:tr>
        <w:trPr/>
        <w:tc>
          <w:tcPr>
            <w:tcW w:w="2705" w:type="dxa"/>
            <w:tcBorders/>
            <w:shd w:fill="CCEEFF" w:val="clear"/>
            <w:vAlign w:val="center"/>
          </w:tcPr>
          <w:p>
            <w:pPr>
              <w:pStyle w:val="TableContents"/>
              <w:bidi w:val="0"/>
              <w:spacing w:before="0" w:after="283"/>
              <w:jc w:val="both"/>
              <w:rPr/>
            </w:pPr>
            <w:r>
              <w:rPr/>
              <w:t>Total assets sold</w:t>
            </w:r>
          </w:p>
        </w:tc>
        <w:tc>
          <w:tcPr>
            <w:tcW w:w="60" w:type="dxa"/>
            <w:tcBorders/>
            <w:shd w:fill="CCEEFF" w:val="cle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743</w:t>
            </w:r>
          </w:p>
        </w:tc>
        <w:tc>
          <w:tcPr>
            <w:tcW w:w="110" w:type="dxa"/>
            <w:tcBorders/>
            <w:shd w:fill="CCEEFF" w:val="clear"/>
            <w:vAlign w:val="center"/>
          </w:tcPr>
          <w:p>
            <w:pPr>
              <w:pStyle w:val="TableContents"/>
              <w:bidi w:val="0"/>
              <w:spacing w:before="0" w:after="283"/>
              <w:jc w:val="left"/>
              <w:rPr/>
            </w:pPr>
            <w:r>
              <w:rPr/>
              <w:t> </w:t>
            </w:r>
            <w:bookmarkStart w:id="329" w:name="xdx_407_eus-gaap--AccountsPayableCurrent"/>
            <w:bookmarkEnd w:id="329"/>
          </w:p>
        </w:tc>
      </w:tr>
      <w:tr>
        <w:trPr/>
        <w:tc>
          <w:tcPr>
            <w:tcW w:w="270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bookmarkStart w:id="330" w:name="xdx_409_eus-gaap--AccruedLiabilitiesCurr"/>
            <w:bookmarkEnd w:id="330"/>
          </w:p>
        </w:tc>
      </w:tr>
      <w:tr>
        <w:trPr/>
        <w:tc>
          <w:tcPr>
            <w:tcW w:w="270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w:t>
            </w:r>
            <w:bookmarkStart w:id="331" w:name="xdx_401_eus-gaap--OperatingLeaseLiabilit"/>
            <w:bookmarkEnd w:id="331"/>
          </w:p>
        </w:tc>
      </w:tr>
      <w:tr>
        <w:trPr/>
        <w:tc>
          <w:tcPr>
            <w:tcW w:w="2705" w:type="dxa"/>
            <w:tcBorders/>
            <w:shd w:fill="FFFFFF" w:val="clear"/>
            <w:vAlign w:val="center"/>
          </w:tcPr>
          <w:p>
            <w:pPr>
              <w:pStyle w:val="TableContents"/>
              <w:bidi w:val="0"/>
              <w:spacing w:before="0" w:after="283"/>
              <w:jc w:val="both"/>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(384</w:t>
            </w:r>
          </w:p>
        </w:tc>
        <w:tc>
          <w:tcPr>
            <w:tcW w:w="110" w:type="dxa"/>
            <w:tcBorders/>
            <w:shd w:fill="FFFFFF" w:val="clear"/>
            <w:vAlign w:val="center"/>
          </w:tcPr>
          <w:p>
            <w:pPr>
              <w:pStyle w:val="TableContents"/>
              <w:bidi w:val="0"/>
              <w:spacing w:before="0" w:after="283"/>
              <w:jc w:val="left"/>
              <w:rPr/>
            </w:pPr>
            <w:r>
              <w:rPr/>
              <w:t>)</w:t>
            </w:r>
            <w:bookmarkStart w:id="332" w:name="xdx_403_eus-gaap--OtherLiabilitiesCurren"/>
            <w:bookmarkEnd w:id="332"/>
          </w:p>
        </w:tc>
      </w:tr>
      <w:tr>
        <w:trPr/>
        <w:tc>
          <w:tcPr>
            <w:tcW w:w="2705" w:type="dxa"/>
            <w:tcBorders/>
            <w:shd w:fill="CCEEFF" w:val="clear"/>
            <w:vAlign w:val="center"/>
          </w:tcPr>
          <w:p>
            <w:pPr>
              <w:pStyle w:val="TableContents"/>
              <w:bidi w:val="0"/>
              <w:spacing w:before="0" w:after="283"/>
              <w:jc w:val="both"/>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w:t>
            </w:r>
            <w:bookmarkStart w:id="333" w:name="xdx_40F_eus-gaap--BusinessCombinationRec"/>
            <w:bookmarkEnd w:id="333"/>
          </w:p>
        </w:tc>
      </w:tr>
      <w:tr>
        <w:trPr/>
        <w:tc>
          <w:tcPr>
            <w:tcW w:w="2705" w:type="dxa"/>
            <w:tcBorders/>
            <w:shd w:fill="FFFFFF" w:val="clear"/>
            <w:vAlign w:val="center"/>
          </w:tcPr>
          <w:p>
            <w:pPr>
              <w:pStyle w:val="TableContents"/>
              <w:bidi w:val="0"/>
              <w:spacing w:before="0" w:after="283"/>
              <w:jc w:val="both"/>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(719</w:t>
            </w:r>
          </w:p>
        </w:tc>
        <w:tc>
          <w:tcPr>
            <w:tcW w:w="110" w:type="dxa"/>
            <w:tcBorders/>
            <w:shd w:fill="FFFFFF" w:val="clear"/>
            <w:vAlign w:val="center"/>
          </w:tcPr>
          <w:p>
            <w:pPr>
              <w:pStyle w:val="TableContents"/>
              <w:bidi w:val="0"/>
              <w:spacing w:before="0" w:after="283"/>
              <w:jc w:val="left"/>
              <w:rPr/>
            </w:pPr>
            <w:r>
              <w:rPr/>
              <w:t>)</w:t>
            </w:r>
            <w:bookmarkStart w:id="334" w:name="xdx_409_eus-gaap--AssetsNet_iTI_pn3n3_mt"/>
            <w:bookmarkEnd w:id="334"/>
          </w:p>
        </w:tc>
      </w:tr>
      <w:tr>
        <w:trPr/>
        <w:tc>
          <w:tcPr>
            <w:tcW w:w="2705" w:type="dxa"/>
            <w:tcBorders/>
            <w:shd w:fill="CCEEFF" w:val="clear"/>
            <w:vAlign w:val="center"/>
          </w:tcPr>
          <w:p>
            <w:pPr>
              <w:pStyle w:val="TableContents"/>
              <w:bidi w:val="0"/>
              <w:spacing w:before="0" w:after="283"/>
              <w:jc w:val="both"/>
              <w:rPr/>
            </w:pPr>
            <w:r>
              <w:rPr/>
              <w:t>Net assets sold</w:t>
            </w:r>
          </w:p>
        </w:tc>
        <w:tc>
          <w:tcPr>
            <w:tcW w:w="60" w:type="dxa"/>
            <w:tcBorders/>
            <w:shd w:fill="CCEEFF" w:val="clear"/>
            <w:vAlign w:val="center"/>
          </w:tcPr>
          <w:p>
            <w:pPr>
              <w:pStyle w:val="TableContents"/>
              <w:bidi w:val="0"/>
              <w:spacing w:before="0" w:after="283"/>
              <w:jc w:val="left"/>
              <w:rPr/>
            </w:pPr>
            <w:r>
              <w:rPr/>
              <w:t> </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5" w:name="xdx_8A2_zJmNVebBlu4g"/>
      <w:bookmarkEnd w:id="3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was paid other than the assumption by Tethon of the above liabilities. No significant transaction costs were incurred. No earnout or other contingent consideration arrangements were included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6" w:name="xdx_808_eus-gaap--BusinessCombinationDis"/>
      <w:bookmarkEnd w:id="336"/>
      <w:r>
        <w:rPr>
          <w:rFonts w:ascii="Times New Roman;Times;Serif" w:hAnsi="Times New Roman;Times;Serif"/>
          <w:b/>
          <w:i w:val="false"/>
          <w:caps w:val="false"/>
          <w:smallCaps w:val="false"/>
          <w:sz w:val="20"/>
        </w:rPr>
        <w:t xml:space="preserve">3. </w:t>
      </w:r>
      <w:bookmarkStart w:id="337" w:name="xdx_828_zPcOMN0bFXjd"/>
      <w:bookmarkEnd w:id="337"/>
      <w:r>
        <w:rPr>
          <w:rFonts w:ascii="Times New Roman;Times;Serif" w:hAnsi="Times New Roman;Times;Serif"/>
          <w:b/>
          <w:i w:val="false"/>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2025, the Company entered into an Asset Purchase Agreement with Sinaptic Surgical, LLC (“Sinaptic Surgical”) and Sinaptic Holdings, LLC (“Holdings”), pursuant to which the Company agreed to purchase substantially all the assets and assume certain liabilities of Sinaptic Surgical. As consideration for the purchase of the assets under the Asset Purchase Agreement, the Company agreed to issue to Sinaptic Surgical warrants to purchase </w:t>
      </w:r>
      <w:bookmarkStart w:id="338" w:name="xdx_900_eus-gaap--BusinessAcquisitionEqu"/>
      <w:bookmarkEnd w:id="338"/>
      <w:r>
        <w:rPr>
          <w:rFonts w:ascii="Times New Roman;Times;Serif" w:hAnsi="Times New Roman;Times;Serif"/>
          <w:b w:val="false"/>
          <w:i w:val="false"/>
          <w:caps w:val="false"/>
          <w:smallCaps w:val="false"/>
          <w:sz w:val="20"/>
        </w:rPr>
        <w:t>325,000 shares of the Company’s common stock (the “Warrants”). The Warrants expire five years from the date of issue and have an exercise price of $</w:t>
      </w:r>
      <w:bookmarkStart w:id="339" w:name="xdx_903_eus-gaap--CommonStockParOrStated"/>
      <w:bookmarkEnd w:id="339"/>
      <w:r>
        <w:rPr>
          <w:rFonts w:ascii="Times New Roman;Times;Serif" w:hAnsi="Times New Roman;Times;Serif"/>
          <w:b w:val="false"/>
          <w:i w:val="false"/>
          <w:caps w:val="false"/>
          <w:smallCaps w:val="false"/>
          <w:sz w:val="20"/>
        </w:rPr>
        <w:t xml:space="preserve">6.30 per share. The Warrants will become exercisable upon the achievement of certain milestones prior to the expiration of the Warrants. In connection with the Asset Purchase Agreement, Sinaptic Surgical purchased </w:t>
      </w:r>
      <w:bookmarkStart w:id="340" w:name="xdx_907_eus-gaap--BusinessAcquisitionEqu"/>
      <w:bookmarkEnd w:id="340"/>
      <w:r>
        <w:rPr>
          <w:rFonts w:ascii="Times New Roman;Times;Serif" w:hAnsi="Times New Roman;Times;Serif"/>
          <w:b w:val="false"/>
          <w:i w:val="false"/>
          <w:caps w:val="false"/>
          <w:smallCaps w:val="false"/>
          <w:sz w:val="20"/>
        </w:rPr>
        <w:t>216,450 shares of the Company’s common stock at a purchase price of $</w:t>
      </w:r>
      <w:bookmarkStart w:id="341" w:name="xdx_908_eus-gaap--CommonStockParOrStated"/>
      <w:bookmarkEnd w:id="341"/>
      <w:r>
        <w:rPr>
          <w:rFonts w:ascii="Times New Roman;Times;Serif" w:hAnsi="Times New Roman;Times;Serif"/>
          <w:b w:val="false"/>
          <w:i w:val="false"/>
          <w:caps w:val="false"/>
          <w:smallCaps w:val="false"/>
          <w:sz w:val="20"/>
        </w:rPr>
        <w:t>3.465 per share in a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the acquired intangible asset was estimated utilizing the income approach, which involves the use of significant estimates and assumptions including projected revenue growth rates, projected earnings,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2" w:name="xdx_897_eus-gaap--ScheduleOfRecognizedId"/>
      <w:bookmarkEnd w:id="342"/>
      <w:r>
        <w:rPr>
          <w:rFonts w:ascii="Times New Roman;Times;Serif" w:hAnsi="Times New Roman;Times;Serif"/>
          <w:b w:val="false"/>
          <w:i w:val="false"/>
          <w:caps w:val="false"/>
          <w:smallCaps w:val="false"/>
          <w:sz w:val="20"/>
        </w:rPr>
        <w:t>The following table summarizes the consideration transferred, the estimated fair value of the assets acquired, and liabilities assumed, at the acquisition date (in thousands):</w:t>
      </w:r>
    </w:p>
    <w:p>
      <w:pPr>
        <w:pStyle w:val="TextBody"/>
        <w:bidi w:val="0"/>
        <w:spacing w:before="0" w:after="0"/>
        <w:ind w:left="0" w:right="0" w:hanging="0"/>
        <w:jc w:val="both"/>
        <w:rPr>
          <w:caps w:val="false"/>
          <w:smallCaps w:val="false"/>
        </w:rPr>
      </w:pPr>
      <w:r>
        <w:rPr>
          <w:caps w:val="false"/>
          <w:smallCaps w:val="false"/>
        </w:rPr>
        <w:t> </w:t>
      </w:r>
      <w:bookmarkStart w:id="343" w:name="xdx_8B4_z3doh4LPc0Dj"/>
      <w:bookmarkEnd w:id="343"/>
      <w:r>
        <w:rPr>
          <w:rFonts w:ascii="Times New Roman;Times;Serif" w:hAnsi="Times New Roman;Times;Serif"/>
          <w:b w:val="false"/>
          <w:i w:val="false"/>
          <w:caps w:val="false"/>
          <w:smallCaps w:val="false"/>
          <w:sz w:val="20"/>
        </w:rPr>
        <w:t>Schedule of Recognized Identified Assets Acquired and Liabilities Assumed</w:t>
      </w:r>
    </w:p>
    <w:tbl>
      <w:tblPr>
        <w:tblW w:w="10205" w:type="dxa"/>
        <w:jc w:val="left"/>
        <w:tblInd w:w="0" w:type="dxa"/>
        <w:tblLayout w:type="fixed"/>
        <w:tblCellMar>
          <w:top w:w="0" w:type="dxa"/>
          <w:left w:w="0" w:type="dxa"/>
          <w:bottom w:w="0" w:type="dxa"/>
          <w:right w:w="0" w:type="dxa"/>
        </w:tblCellMar>
      </w:tblPr>
      <w:tblGrid>
        <w:gridCol w:w="6155"/>
        <w:gridCol w:w="60"/>
        <w:gridCol w:w="775"/>
        <w:gridCol w:w="3103"/>
        <w:gridCol w:w="112"/>
      </w:tblGrid>
      <w:tr>
        <w:trPr/>
        <w:tc>
          <w:tcPr>
            <w:tcW w:w="6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44" w:name="xdx_49F_20250101__20250930_zDCN60qOoR17"/>
            <w:bookmarkEnd w:id="344"/>
          </w:p>
        </w:tc>
        <w:tc>
          <w:tcPr>
            <w:tcW w:w="3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 recognized as of the acquisition date</w:t>
            </w:r>
          </w:p>
        </w:tc>
        <w:tc>
          <w:tcPr>
            <w:tcW w:w="112"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both"/>
              <w:rPr>
                <w:b/>
              </w:rPr>
            </w:pPr>
            <w:r>
              <w:rPr>
                <w:b/>
              </w:rPr>
              <w:t>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31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5" w:name="xdx_40C_eus-gaap--BusinessCombinationCon"/>
            <w:bookmarkEnd w:id="345"/>
          </w:p>
        </w:tc>
      </w:tr>
      <w:tr>
        <w:trPr/>
        <w:tc>
          <w:tcPr>
            <w:tcW w:w="6155" w:type="dxa"/>
            <w:tcBorders/>
            <w:shd w:fill="FFFFFF" w:val="clear"/>
            <w:vAlign w:val="center"/>
          </w:tcPr>
          <w:p>
            <w:pPr>
              <w:pStyle w:val="TableContents"/>
              <w:bidi w:val="0"/>
              <w:spacing w:before="0" w:after="283"/>
              <w:jc w:val="both"/>
              <w:rPr/>
            </w:pPr>
            <w:r>
              <w:rPr/>
              <w:t>Common stock private placement</w:t>
            </w:r>
          </w:p>
        </w:tc>
        <w:tc>
          <w:tcPr>
            <w:tcW w:w="6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w:t>
            </w:r>
          </w:p>
        </w:tc>
        <w:tc>
          <w:tcPr>
            <w:tcW w:w="3103" w:type="dxa"/>
            <w:tcBorders/>
            <w:shd w:fill="FFFFFF" w:val="clear"/>
            <w:vAlign w:val="center"/>
          </w:tcPr>
          <w:p>
            <w:pPr>
              <w:pStyle w:val="TableContents"/>
              <w:bidi w:val="0"/>
              <w:spacing w:before="0" w:after="283"/>
              <w:jc w:val="right"/>
              <w:rPr/>
            </w:pPr>
            <w:r>
              <w:rPr/>
              <w:t>682</w:t>
            </w:r>
          </w:p>
        </w:tc>
        <w:tc>
          <w:tcPr>
            <w:tcW w:w="112" w:type="dxa"/>
            <w:tcBorders/>
            <w:shd w:fill="FFFFFF" w:val="clear"/>
            <w:vAlign w:val="center"/>
          </w:tcPr>
          <w:p>
            <w:pPr>
              <w:pStyle w:val="TableContents"/>
              <w:bidi w:val="0"/>
              <w:spacing w:before="0" w:after="283"/>
              <w:jc w:val="left"/>
              <w:rPr/>
            </w:pPr>
            <w:r>
              <w:rPr/>
              <w:t> </w:t>
            </w:r>
            <w:bookmarkStart w:id="346" w:name="xdx_40C_eus-gaap--BusinessCombinationCon"/>
            <w:bookmarkEnd w:id="346"/>
          </w:p>
        </w:tc>
      </w:tr>
      <w:tr>
        <w:trPr/>
        <w:tc>
          <w:tcPr>
            <w:tcW w:w="6155" w:type="dxa"/>
            <w:tcBorders/>
            <w:shd w:fill="CCEEFF" w:val="clear"/>
            <w:vAlign w:val="center"/>
          </w:tcPr>
          <w:p>
            <w:pPr>
              <w:pStyle w:val="TableContents"/>
              <w:bidi w:val="0"/>
              <w:spacing w:before="0" w:after="283"/>
              <w:jc w:val="both"/>
              <w:rPr/>
            </w:pPr>
            <w:r>
              <w:rPr/>
              <w:t>Warrants (included in derivative liabilities)</w:t>
            </w:r>
          </w:p>
        </w:tc>
        <w:tc>
          <w:tcPr>
            <w:tcW w:w="60" w:type="dxa"/>
            <w:tcBorders/>
            <w:shd w:fill="CCEEFF" w:val="clear"/>
            <w:vAlign w:val="center"/>
          </w:tcPr>
          <w:p>
            <w:pPr>
              <w:pStyle w:val="TableContents"/>
              <w:bidi w:val="0"/>
              <w:spacing w:before="0" w:after="283"/>
              <w:jc w:val="left"/>
              <w:rPr/>
            </w:pPr>
            <w:r>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03"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112" w:type="dxa"/>
            <w:tcBorders/>
            <w:shd w:fill="CCEEFF" w:val="clear"/>
            <w:vAlign w:val="center"/>
          </w:tcPr>
          <w:p>
            <w:pPr>
              <w:pStyle w:val="TableContents"/>
              <w:bidi w:val="0"/>
              <w:spacing w:before="0" w:after="283"/>
              <w:jc w:val="left"/>
              <w:rPr/>
            </w:pPr>
            <w:r>
              <w:rPr/>
              <w:t> </w:t>
            </w:r>
            <w:bookmarkStart w:id="347" w:name="xdx_40F_eus-gaap--BusinessCombinationCon"/>
            <w:bookmarkEnd w:id="347"/>
          </w:p>
        </w:tc>
      </w:tr>
      <w:tr>
        <w:trPr/>
        <w:tc>
          <w:tcPr>
            <w:tcW w:w="6155" w:type="dxa"/>
            <w:tcBorders/>
            <w:shd w:fill="FFFFFF" w:val="clear"/>
            <w:vAlign w:val="center"/>
          </w:tcPr>
          <w:p>
            <w:pPr>
              <w:pStyle w:val="TableContents"/>
              <w:bidi w:val="0"/>
              <w:spacing w:before="0" w:after="283"/>
              <w:jc w:val="both"/>
              <w:rPr/>
            </w:pPr>
            <w:r>
              <w:rPr/>
              <w:t>Total consideration transferred</w:t>
            </w:r>
          </w:p>
        </w:tc>
        <w:tc>
          <w:tcPr>
            <w:tcW w:w="60" w:type="dxa"/>
            <w:tcBorders/>
            <w:shd w:fill="FFFFFF" w:val="cle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103" w:type="dxa"/>
            <w:tcBorders>
              <w:bottom w:val="single" w:sz="8" w:space="0" w:color="000000"/>
            </w:tcBorders>
            <w:shd w:fill="FFFFFF" w:val="clear"/>
            <w:tcMar>
              <w:bottom w:w="28" w:type="dxa"/>
            </w:tcMar>
            <w:vAlign w:val="center"/>
          </w:tcPr>
          <w:p>
            <w:pPr>
              <w:pStyle w:val="TableContents"/>
              <w:bidi w:val="0"/>
              <w:spacing w:before="0" w:after="283"/>
              <w:jc w:val="right"/>
              <w:rPr/>
            </w:pPr>
            <w:r>
              <w:rPr/>
              <w:t>1,177</w:t>
            </w:r>
          </w:p>
        </w:tc>
        <w:tc>
          <w:tcPr>
            <w:tcW w:w="112"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31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both"/>
              <w:rPr>
                <w:b/>
              </w:rPr>
            </w:pPr>
            <w:r>
              <w:rPr>
                <w:b/>
              </w:rPr>
              <w:t>Recognized amounts of identifiable assets acquired and liabilities assumed</w:t>
            </w:r>
          </w:p>
        </w:tc>
        <w:tc>
          <w:tcPr>
            <w:tcW w:w="6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31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w:t>
            </w:r>
            <w:bookmarkStart w:id="348" w:name="xdx_980_eus-gaap--BusinessCombinationRec"/>
            <w:bookmarkEnd w:id="348"/>
          </w:p>
        </w:tc>
        <w:tc>
          <w:tcPr>
            <w:tcW w:w="3103" w:type="dxa"/>
            <w:tcBorders/>
            <w:shd w:fill="CCEEFF" w:val="clear"/>
            <w:vAlign w:val="center"/>
          </w:tcPr>
          <w:p>
            <w:pPr>
              <w:pStyle w:val="TableContents"/>
              <w:bidi w:val="0"/>
              <w:spacing w:before="0" w:after="283"/>
              <w:jc w:val="right"/>
              <w:rPr/>
            </w:pPr>
            <w:r>
              <w:rPr/>
              <w:t>750</w:t>
            </w:r>
          </w:p>
        </w:tc>
        <w:tc>
          <w:tcPr>
            <w:tcW w:w="112"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both"/>
              <w:rPr/>
            </w:pPr>
            <w:r>
              <w:rPr/>
              <w:t>Intangibles</w:t>
            </w:r>
          </w:p>
        </w:tc>
        <w:tc>
          <w:tcPr>
            <w:tcW w:w="60" w:type="dxa"/>
            <w:tcBorders/>
            <w:shd w:fill="FFFFFF" w:val="cle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9" w:name="xdx_98B_eus-gaap--BusinessCombinationRec"/>
            <w:bookmarkEnd w:id="349"/>
          </w:p>
        </w:tc>
        <w:tc>
          <w:tcPr>
            <w:tcW w:w="3103" w:type="dxa"/>
            <w:tcBorders>
              <w:bottom w:val="single" w:sz="8" w:space="0" w:color="000000"/>
            </w:tcBorders>
            <w:shd w:fill="FFFFFF" w:val="clear"/>
            <w:tcMar>
              <w:bottom w:w="28" w:type="dxa"/>
            </w:tcMar>
            <w:vAlign w:val="center"/>
          </w:tcPr>
          <w:p>
            <w:pPr>
              <w:pStyle w:val="TableContents"/>
              <w:bidi w:val="0"/>
              <w:spacing w:before="0" w:after="283"/>
              <w:jc w:val="right"/>
              <w:rPr/>
            </w:pPr>
            <w:r>
              <w:rPr/>
              <w:t>145</w:t>
            </w:r>
          </w:p>
        </w:tc>
        <w:tc>
          <w:tcPr>
            <w:tcW w:w="112"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both"/>
              <w:rPr/>
            </w:pPr>
            <w:r>
              <w:rPr/>
              <w:t>Total assets acquired</w:t>
            </w:r>
          </w:p>
        </w:tc>
        <w:tc>
          <w:tcPr>
            <w:tcW w:w="6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bookmarkStart w:id="350" w:name="xdx_980_eus-gaap--BusinessCombinationRec"/>
            <w:bookmarkEnd w:id="350"/>
          </w:p>
        </w:tc>
        <w:tc>
          <w:tcPr>
            <w:tcW w:w="3103" w:type="dxa"/>
            <w:tcBorders/>
            <w:shd w:fill="CCEEFF" w:val="clear"/>
            <w:vAlign w:val="center"/>
          </w:tcPr>
          <w:p>
            <w:pPr>
              <w:pStyle w:val="TableContents"/>
              <w:bidi w:val="0"/>
              <w:spacing w:before="0" w:after="283"/>
              <w:jc w:val="right"/>
              <w:rPr/>
            </w:pPr>
            <w:r>
              <w:rPr/>
              <w:t>895</w:t>
            </w:r>
          </w:p>
        </w:tc>
        <w:tc>
          <w:tcPr>
            <w:tcW w:w="112"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left"/>
              <w:rPr/>
            </w:pPr>
            <w:r>
              <w:rPr/>
              <w:t> </w:t>
            </w:r>
          </w:p>
        </w:tc>
        <w:tc>
          <w:tcPr>
            <w:tcW w:w="31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both"/>
              <w:rPr/>
            </w:pPr>
            <w:r>
              <w:rPr/>
              <w:t>Accounts payable and other accrued expenses</w:t>
            </w:r>
          </w:p>
        </w:tc>
        <w:tc>
          <w:tcPr>
            <w:tcW w:w="60" w:type="dxa"/>
            <w:tcBorders/>
            <w:shd w:fill="CCEEFF" w:val="clear"/>
            <w:vAlign w:val="center"/>
          </w:tcPr>
          <w:p>
            <w:pPr>
              <w:pStyle w:val="TableContents"/>
              <w:bidi w:val="0"/>
              <w:spacing w:before="0" w:after="283"/>
              <w:jc w:val="left"/>
              <w:rPr/>
            </w:pPr>
            <w:r>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1" w:name="xdx_98B_eus-gaap--BusinessCombinationRec"/>
            <w:bookmarkEnd w:id="351"/>
          </w:p>
        </w:tc>
        <w:tc>
          <w:tcPr>
            <w:tcW w:w="3103"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12" w:type="dxa"/>
            <w:tcBorders/>
            <w:shd w:fill="CCEEFF" w:val="clear"/>
            <w:vAlign w:val="center"/>
          </w:tcPr>
          <w:p>
            <w:pPr>
              <w:pStyle w:val="TableContents"/>
              <w:bidi w:val="0"/>
              <w:spacing w:before="0" w:after="283"/>
              <w:jc w:val="left"/>
              <w:rPr/>
            </w:pPr>
            <w:r>
              <w:rPr/>
              <w:t>)</w:t>
            </w:r>
          </w:p>
        </w:tc>
      </w:tr>
      <w:tr>
        <w:trPr/>
        <w:tc>
          <w:tcPr>
            <w:tcW w:w="6155" w:type="dxa"/>
            <w:tcBorders/>
            <w:shd w:fill="FFFFFF" w:val="clear"/>
            <w:vAlign w:val="center"/>
          </w:tcPr>
          <w:p>
            <w:pPr>
              <w:pStyle w:val="TableContents"/>
              <w:bidi w:val="0"/>
              <w:spacing w:before="0" w:after="283"/>
              <w:jc w:val="both"/>
              <w:rPr>
                <w:b/>
              </w:rPr>
            </w:pPr>
            <w:r>
              <w:rPr>
                <w:b/>
              </w:rPr>
              <w:t>Total identifiable net assets</w:t>
            </w:r>
          </w:p>
        </w:tc>
        <w:tc>
          <w:tcPr>
            <w:tcW w:w="60" w:type="dxa"/>
            <w:tcBorders/>
            <w:shd w:fill="FFFFFF" w:val="cle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52" w:name="xdx_98F_eus-gaap--BusinessCombinationRec"/>
            <w:bookmarkEnd w:id="352"/>
          </w:p>
        </w:tc>
        <w:tc>
          <w:tcPr>
            <w:tcW w:w="3103" w:type="dxa"/>
            <w:tcBorders>
              <w:bottom w:val="single" w:sz="8" w:space="0" w:color="000000"/>
            </w:tcBorders>
            <w:shd w:fill="FFFFFF" w:val="clear"/>
            <w:tcMar>
              <w:bottom w:w="28" w:type="dxa"/>
            </w:tcMar>
            <w:vAlign w:val="center"/>
          </w:tcPr>
          <w:p>
            <w:pPr>
              <w:pStyle w:val="TableContents"/>
              <w:bidi w:val="0"/>
              <w:spacing w:before="0" w:after="283"/>
              <w:jc w:val="right"/>
              <w:rPr/>
            </w:pPr>
            <w:r>
              <w:rPr/>
              <w:t>875</w:t>
            </w:r>
          </w:p>
        </w:tc>
        <w:tc>
          <w:tcPr>
            <w:tcW w:w="112"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both"/>
              <w:rPr>
                <w:b/>
              </w:rPr>
            </w:pPr>
            <w:r>
              <w:rPr>
                <w:b/>
              </w:rPr>
              <w:t>Goodwill</w:t>
            </w:r>
          </w:p>
        </w:tc>
        <w:tc>
          <w:tcPr>
            <w:tcW w:w="60" w:type="dxa"/>
            <w:tcBorders/>
            <w:shd w:fill="CCEEFF" w:val="clear"/>
            <w:vAlign w:val="center"/>
          </w:tcPr>
          <w:p>
            <w:pPr>
              <w:pStyle w:val="TableContents"/>
              <w:bidi w:val="0"/>
              <w:spacing w:before="0" w:after="283"/>
              <w:jc w:val="left"/>
              <w:rPr/>
            </w:pPr>
            <w:r>
              <w:rPr/>
              <w:t> </w:t>
            </w:r>
          </w:p>
        </w:tc>
        <w:tc>
          <w:tcPr>
            <w:tcW w:w="7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53" w:name="xdx_986_eus-gaap--Goodwill_iI_pn3n3_c202"/>
            <w:bookmarkEnd w:id="353"/>
          </w:p>
        </w:tc>
        <w:tc>
          <w:tcPr>
            <w:tcW w:w="3103" w:type="dxa"/>
            <w:tcBorders>
              <w:bottom w:val="double" w:sz="6" w:space="0" w:color="000000"/>
            </w:tcBorders>
            <w:shd w:fill="CCEEFF" w:val="clear"/>
            <w:tcMar>
              <w:bottom w:w="28" w:type="dxa"/>
            </w:tcMar>
            <w:vAlign w:val="center"/>
          </w:tcPr>
          <w:p>
            <w:pPr>
              <w:pStyle w:val="TableContents"/>
              <w:bidi w:val="0"/>
              <w:spacing w:before="0" w:after="283"/>
              <w:jc w:val="right"/>
              <w:rPr/>
            </w:pPr>
            <w:r>
              <w:rPr/>
              <w:t>302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4" w:name="xdx_8AB_zEFoqbJru0l"/>
      <w:bookmarkEnd w:id="3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goodwill of $</w:t>
      </w:r>
      <w:bookmarkStart w:id="355" w:name="xdx_905_eus-gaap--Goodwill_iI_c20250930_"/>
      <w:bookmarkEnd w:id="355"/>
      <w:r>
        <w:rPr>
          <w:rFonts w:ascii="Times New Roman;Times;Serif" w:hAnsi="Times New Roman;Times;Serif"/>
          <w:b w:val="false"/>
          <w:i w:val="false"/>
          <w:caps w:val="false"/>
          <w:smallCaps w:val="false"/>
          <w:sz w:val="20"/>
        </w:rPr>
        <w:t>302,000, which reflects the future benefits of certain synergies, and regulatory and commercialization strategies. Acquired intangible assets are being amortized over the estimated useful life of five years on a straight-line basis.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6" w:name="xdx_804_eus-gaap--EarningsPerShareTextBl"/>
      <w:bookmarkEnd w:id="356"/>
      <w:r>
        <w:rPr>
          <w:rFonts w:ascii="Times New Roman;Times;Serif" w:hAnsi="Times New Roman;Times;Serif"/>
          <w:b/>
          <w:i w:val="false"/>
          <w:caps w:val="false"/>
          <w:smallCaps w:val="false"/>
          <w:sz w:val="20"/>
        </w:rPr>
        <w:t xml:space="preserve">4. </w:t>
      </w:r>
      <w:bookmarkStart w:id="357" w:name="xdx_828_z0RAynv9DXm9"/>
      <w:bookmarkEnd w:id="357"/>
      <w:r>
        <w:rPr>
          <w:rFonts w:ascii="Times New Roman;Times;Serif" w:hAnsi="Times New Roman;Times;Serif"/>
          <w:b/>
          <w:i w:val="false"/>
          <w:caps w:val="false"/>
          <w:smallCaps w:val="false"/>
          <w:sz w:val="20"/>
        </w:rPr>
        <w:t>Basic and Diluted Net Income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(loss) per share is calculated by dividing the net income (loss) by the weighted-average number of common shares outstanding for the period, without consideration for common stock equivalents. Diluted net loss per share is calculated by dividing the net loss by the weighted-average number of common share equivalents outstanding for the period that are determined to be dilutive. Common stock equivalents are primarily comprised of preferred stock and warrants for the purchase of common stock. The Company had potentially dilutive securities of approximately </w:t>
      </w:r>
      <w:bookmarkStart w:id="358" w:name="xdx_902_eus-gaap--IncrementalCommonShare"/>
      <w:bookmarkEnd w:id="358"/>
      <w:r>
        <w:rPr>
          <w:rFonts w:ascii="Times New Roman;Times;Serif" w:hAnsi="Times New Roman;Times;Serif"/>
          <w:b w:val="false"/>
          <w:i w:val="false"/>
          <w:caps w:val="false"/>
          <w:smallCaps w:val="false"/>
          <w:sz w:val="20"/>
        </w:rPr>
        <w:t xml:space="preserve">3.3 million and </w:t>
      </w:r>
      <w:bookmarkStart w:id="359" w:name="xdx_903_eus-gaap--IncrementalCommonShare"/>
      <w:bookmarkEnd w:id="359"/>
      <w:r>
        <w:rPr>
          <w:rFonts w:ascii="Times New Roman;Times;Serif" w:hAnsi="Times New Roman;Times;Serif"/>
          <w:b w:val="false"/>
          <w:i w:val="false"/>
          <w:caps w:val="false"/>
          <w:smallCaps w:val="false"/>
          <w:sz w:val="20"/>
        </w:rPr>
        <w:t>0.1 million as of September 30, 2025, and 2024, respectively, that were not included in the fully diluted loss per share calculation because they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0" w:name="xdx_89F_eus-gaap--ScheduleOfEarningsPerS"/>
      <w:bookmarkEnd w:id="360"/>
      <w:r>
        <w:rPr>
          <w:rFonts w:ascii="Times New Roman;Times;Serif" w:hAnsi="Times New Roman;Times;Serif"/>
          <w:b w:val="false"/>
          <w:i w:val="false"/>
          <w:caps w:val="false"/>
          <w:smallCaps w:val="false"/>
          <w:sz w:val="20"/>
        </w:rPr>
        <w:t>Below are basic and diluted loss per share data for the three months ended September 30, 2025, which are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bookmarkStart w:id="361" w:name="xdx_8B7_zTNpTatZhh8g"/>
      <w:bookmarkEnd w:id="361"/>
      <w:r>
        <w:rPr>
          <w:rFonts w:ascii="Times New Roman;Times;Serif" w:hAnsi="Times New Roman;Times;Serif"/>
          <w:b w:val="false"/>
          <w:i w:val="false"/>
          <w:caps w:val="false"/>
          <w:smallCaps w:val="false"/>
          <w:sz w:val="20"/>
        </w:rPr>
        <w:t>Schedule of Basic and Diluted Loss Per Share</w:t>
      </w:r>
    </w:p>
    <w:tbl>
      <w:tblPr>
        <w:tblW w:w="9150"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221"/>
        <w:gridCol w:w="624"/>
        <w:gridCol w:w="60"/>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b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br/>
              <w:t>Warrant</w:t>
              <w:b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b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62" w:name="xdx_98D_ecustom--NetLossBasicCalculation"/>
            <w:bookmarkEnd w:id="362"/>
          </w:p>
        </w:tc>
        <w:tc>
          <w:tcPr>
            <w:tcW w:w="1042" w:type="dxa"/>
            <w:tcBorders/>
            <w:shd w:fill="FFFFFF" w:val="clear"/>
            <w:vAlign w:val="center"/>
          </w:tcPr>
          <w:p>
            <w:pPr>
              <w:pStyle w:val="TableContents"/>
              <w:bidi w:val="0"/>
              <w:spacing w:before="0" w:after="283"/>
              <w:jc w:val="right"/>
              <w:rPr/>
            </w:pPr>
            <w:r>
              <w:rPr/>
              <w:t>(3,539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bookmarkStart w:id="363" w:name="xdx_988_ecustom--NetLossEffectOfDilutive"/>
            <w:bookmarkEnd w:id="363"/>
          </w:p>
        </w:tc>
        <w:tc>
          <w:tcPr>
            <w:tcW w:w="6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64" w:name="xdx_98A_ecustom--NetLossDilutedCalculati"/>
            <w:bookmarkEnd w:id="364"/>
          </w:p>
        </w:tc>
        <w:tc>
          <w:tcPr>
            <w:tcW w:w="1042" w:type="dxa"/>
            <w:tcBorders/>
            <w:shd w:fill="FFFFFF" w:val="clear"/>
            <w:vAlign w:val="center"/>
          </w:tcPr>
          <w:p>
            <w:pPr>
              <w:pStyle w:val="TableContents"/>
              <w:bidi w:val="0"/>
              <w:spacing w:before="0" w:after="283"/>
              <w:jc w:val="right"/>
              <w:rPr/>
            </w:pPr>
            <w:r>
              <w:rPr/>
              <w:t>(3,539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5" w:name="xdx_986_ecustom--DeemedDividendRelatedTo"/>
            <w:bookmarkEnd w:id="365"/>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(6,719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6" w:name="xdx_98D_ecustom--DeemedDividendRelatedTo"/>
            <w:bookmarkEnd w:id="366"/>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7" w:name="xdx_983_ecustom--DeemedDividendRelatedTo"/>
            <w:bookmarkEnd w:id="367"/>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(6,719</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8" w:name="xdx_984_eus-gaap--NetIncomeLossAvailable"/>
            <w:bookmarkEnd w:id="368"/>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(10,258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9" w:name="xdx_988_ecustom--NetLossAttributableToCo"/>
            <w:bookmarkEnd w:id="369"/>
          </w:p>
        </w:tc>
        <w:tc>
          <w:tcPr>
            <w:tcW w:w="624" w:type="dxa"/>
            <w:tcBorders>
              <w:bottom w:val="double" w:sz="6" w:space="0" w:color="000000"/>
            </w:tcBorders>
            <w:shd w:fill="FFFFFF" w:val="clear"/>
            <w:tcMar>
              <w:bottom w:w="50"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70" w:name="xdx_98A_eus-gaap--NetIncomeLossAttributa"/>
            <w:bookmarkEnd w:id="370"/>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(10,258</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71" w:name="xdx_98E_eus-gaap--WeightedAverageNumberO"/>
            <w:bookmarkEnd w:id="371"/>
          </w:p>
        </w:tc>
        <w:tc>
          <w:tcPr>
            <w:tcW w:w="1042" w:type="dxa"/>
            <w:tcBorders/>
            <w:shd w:fill="CCEEFF" w:val="clear"/>
            <w:vAlign w:val="center"/>
          </w:tcPr>
          <w:p>
            <w:pPr>
              <w:pStyle w:val="TableContents"/>
              <w:bidi w:val="0"/>
              <w:spacing w:before="0" w:after="283"/>
              <w:jc w:val="right"/>
              <w:rPr/>
            </w:pPr>
            <w:r>
              <w:rPr/>
              <w:t>2,963,539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bookmarkStart w:id="372" w:name="xdx_98E_eus-gaap--WeightedAverageNumberD"/>
            <w:bookmarkEnd w:id="372"/>
          </w:p>
        </w:tc>
        <w:tc>
          <w:tcPr>
            <w:tcW w:w="624"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73" w:name="xdx_984_eus-gaap--WeightedAverageNumberO"/>
            <w:bookmarkEnd w:id="373"/>
          </w:p>
        </w:tc>
        <w:tc>
          <w:tcPr>
            <w:tcW w:w="1042" w:type="dxa"/>
            <w:tcBorders/>
            <w:shd w:fill="CCEEFF" w:val="clear"/>
            <w:vAlign w:val="center"/>
          </w:tcPr>
          <w:p>
            <w:pPr>
              <w:pStyle w:val="TableContents"/>
              <w:bidi w:val="0"/>
              <w:spacing w:before="0" w:after="283"/>
              <w:jc w:val="right"/>
              <w:rPr/>
            </w:pPr>
            <w:r>
              <w:rPr/>
              <w:t>2,963,539</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74" w:name="xdx_981_eus-gaap--IncomeLossFromContinui"/>
            <w:bookmarkEnd w:id="374"/>
          </w:p>
        </w:tc>
        <w:tc>
          <w:tcPr>
            <w:tcW w:w="1042"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bookmarkStart w:id="375" w:name="xdx_986_ecustom--NetIncomeEffectOfDiluti"/>
            <w:bookmarkEnd w:id="375"/>
          </w:p>
        </w:tc>
        <w:tc>
          <w:tcPr>
            <w:tcW w:w="6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76" w:name="xdx_988_eus-gaap--IncomeLossFromContinui"/>
            <w:bookmarkEnd w:id="376"/>
          </w:p>
        </w:tc>
        <w:tc>
          <w:tcPr>
            <w:tcW w:w="1042" w:type="dxa"/>
            <w:tcBorders/>
            <w:shd w:fill="FFFFFF" w:val="clear"/>
            <w:vAlign w:val="center"/>
          </w:tcPr>
          <w:p>
            <w:pPr>
              <w:pStyle w:val="TableContents"/>
              <w:bidi w:val="0"/>
              <w:spacing w:before="0" w:after="283"/>
              <w:jc w:val="right"/>
              <w:rPr/>
            </w:pPr>
            <w:r>
              <w:rPr/>
              <w:t>(1.19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7" w:name="xdx_985_ecustom--BasicDeemedDividendRela"/>
            <w:bookmarkEnd w:id="377"/>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8" w:name="xdx_986_ecustom--DeemedDividendRelatedTo"/>
            <w:bookmarkEnd w:id="378"/>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9" w:name="xdx_985_ecustom--DilutedDeemedDividendRe"/>
            <w:bookmarkEnd w:id="379"/>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0" w:name="xdx_987_eus-gaap--EarningsPerShareBasic_"/>
            <w:bookmarkEnd w:id="380"/>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1" w:name="xdx_984_ecustom--NetLossAttributableToCo"/>
            <w:bookmarkEnd w:id="381"/>
          </w:p>
        </w:tc>
        <w:tc>
          <w:tcPr>
            <w:tcW w:w="624" w:type="dxa"/>
            <w:tcBorders>
              <w:bottom w:val="double" w:sz="6" w:space="0" w:color="000000"/>
            </w:tcBorders>
            <w:shd w:fill="FFFFFF" w:val="clear"/>
            <w:tcMar>
              <w:bottom w:w="50"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2" w:name="xdx_984_eus-gaap--EarningsPerShareDilute"/>
            <w:bookmarkEnd w:id="382"/>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(3.46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nine months ended September 30, 2025, which are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180"/>
        <w:gridCol w:w="665"/>
        <w:gridCol w:w="95"/>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b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br/>
              <w:t>Warrant</w:t>
              <w:b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b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042" w:type="dxa"/>
            <w:tcBorders/>
            <w:shd w:fill="FFFFFF" w:val="clear"/>
            <w:vAlign w:val="center"/>
          </w:tcPr>
          <w:p>
            <w:pPr>
              <w:pStyle w:val="TableContents"/>
              <w:bidi w:val="0"/>
              <w:spacing w:before="0" w:after="283"/>
              <w:jc w:val="right"/>
              <w:rPr/>
            </w:pPr>
            <w:bookmarkStart w:id="383" w:name="xdx_904_ecustom--NetLossBasicCalculation"/>
            <w:bookmarkEnd w:id="383"/>
            <w:r>
              <w:rPr/>
              <w:t>(8,149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665" w:type="dxa"/>
            <w:tcBorders/>
            <w:shd w:fill="FFFFFF" w:val="clear"/>
            <w:vAlign w:val="center"/>
          </w:tcPr>
          <w:p>
            <w:pPr>
              <w:pStyle w:val="TableContents"/>
              <w:bidi w:val="0"/>
              <w:spacing w:before="0" w:after="283"/>
              <w:jc w:val="right"/>
              <w:rPr/>
            </w:pPr>
            <w:bookmarkStart w:id="384" w:name="xdx_90F_ecustom--NetLossEffectOfDilutive"/>
            <w:bookmarkEnd w:id="384"/>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042" w:type="dxa"/>
            <w:tcBorders/>
            <w:shd w:fill="FFFFFF" w:val="clear"/>
            <w:vAlign w:val="center"/>
          </w:tcPr>
          <w:p>
            <w:pPr>
              <w:pStyle w:val="TableContents"/>
              <w:bidi w:val="0"/>
              <w:spacing w:before="0" w:after="283"/>
              <w:jc w:val="right"/>
              <w:rPr/>
            </w:pPr>
            <w:bookmarkStart w:id="385" w:name="xdx_90F_ecustom--NetLossDilutedCalculati"/>
            <w:bookmarkEnd w:id="385"/>
            <w:r>
              <w:rPr/>
              <w:t>(8,150</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86" w:name="xdx_901_ecustom--DeemedDividendRelatedTo"/>
            <w:bookmarkEnd w:id="386"/>
            <w:r>
              <w:rPr/>
              <w:t>(6,719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7" w:name="xdx_987_ecustom--DeemedDividendRelatedTo"/>
            <w:bookmarkEnd w:id="387"/>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88" w:name="xdx_902_ecustom--DeemedDividendRelatedTo"/>
            <w:bookmarkEnd w:id="388"/>
            <w:r>
              <w:rPr/>
              <w:t>(6,719</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9" w:name="xdx_984_eus-gaap--NetIncomeLossAvailable"/>
            <w:bookmarkEnd w:id="389"/>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(14,868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0" w:name="xdx_98C_ecustom--NetIncomeEffectOfDiluti"/>
            <w:bookmarkEnd w:id="390"/>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1" w:name="xdx_982_eus-gaap--NetIncomeLossAttributa"/>
            <w:bookmarkEnd w:id="391"/>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(14,869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92" w:name="xdx_981_eus-gaap--WeightedAverageNumberO"/>
            <w:bookmarkEnd w:id="392"/>
          </w:p>
        </w:tc>
        <w:tc>
          <w:tcPr>
            <w:tcW w:w="1042" w:type="dxa"/>
            <w:tcBorders/>
            <w:shd w:fill="CCEEFF" w:val="clear"/>
            <w:vAlign w:val="center"/>
          </w:tcPr>
          <w:p>
            <w:pPr>
              <w:pStyle w:val="TableContents"/>
              <w:bidi w:val="0"/>
              <w:spacing w:before="0" w:after="283"/>
              <w:jc w:val="right"/>
              <w:rPr/>
            </w:pPr>
            <w:r>
              <w:rPr/>
              <w:t>2,411,004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bookmarkStart w:id="393" w:name="xdx_98E_eus-gaap--WeightedAverageNumberD"/>
            <w:bookmarkEnd w:id="393"/>
          </w:p>
        </w:tc>
        <w:tc>
          <w:tcPr>
            <w:tcW w:w="665" w:type="dxa"/>
            <w:tcBorders/>
            <w:shd w:fill="CCEEFF" w:val="cle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94" w:name="xdx_98A_eus-gaap--WeightedAverageNumberO"/>
            <w:bookmarkEnd w:id="394"/>
          </w:p>
        </w:tc>
        <w:tc>
          <w:tcPr>
            <w:tcW w:w="1042" w:type="dxa"/>
            <w:tcBorders/>
            <w:shd w:fill="CCEEFF" w:val="clear"/>
            <w:vAlign w:val="center"/>
          </w:tcPr>
          <w:p>
            <w:pPr>
              <w:pStyle w:val="TableContents"/>
              <w:bidi w:val="0"/>
              <w:spacing w:before="0" w:after="283"/>
              <w:jc w:val="right"/>
              <w:rPr/>
            </w:pPr>
            <w:r>
              <w:rPr/>
              <w:t>2,411,179</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95" w:name="xdx_987_eus-gaap--IncomeLossFromContinui"/>
            <w:bookmarkEnd w:id="395"/>
          </w:p>
        </w:tc>
        <w:tc>
          <w:tcPr>
            <w:tcW w:w="1042"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bookmarkStart w:id="396" w:name="xdx_986_ecustom--NetIncomeEffectOfDiluti"/>
            <w:bookmarkEnd w:id="396"/>
          </w:p>
        </w:tc>
        <w:tc>
          <w:tcPr>
            <w:tcW w:w="665" w:type="dxa"/>
            <w:tcBorders/>
            <w:shd w:fill="FFFFFF" w:val="clear"/>
            <w:vAlign w:val="center"/>
          </w:tcPr>
          <w:p>
            <w:pPr>
              <w:pStyle w:val="TableContents"/>
              <w:bidi w:val="0"/>
              <w:spacing w:before="0" w:after="283"/>
              <w:jc w:val="right"/>
              <w:rPr/>
            </w:pPr>
            <w:r>
              <w:rPr/>
              <w:t>(5.71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bookmarkStart w:id="397" w:name="xdx_98D_eus-gaap--IncomeLossFromContinui"/>
            <w:bookmarkEnd w:id="397"/>
          </w:p>
        </w:tc>
        <w:tc>
          <w:tcPr>
            <w:tcW w:w="1042" w:type="dxa"/>
            <w:tcBorders/>
            <w:shd w:fill="FFFFFF" w:val="cle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8" w:name="xdx_982_ecustom--BasicDeemedDividendRela"/>
            <w:bookmarkEnd w:id="398"/>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9" w:name="xdx_98D_ecustom--DeemedDividendRelatedTo"/>
            <w:bookmarkEnd w:id="399"/>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0" w:name="xdx_984_ecustom--DilutedDeemedDividendRe"/>
            <w:bookmarkEnd w:id="400"/>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1" w:name="xdx_982_eus-gaap--EarningsPerShareBasic_"/>
            <w:bookmarkEnd w:id="401"/>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2" w:name="xdx_987_ecustom--NetLossAttributableToCo"/>
            <w:bookmarkEnd w:id="402"/>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pPr>
            <w:r>
              <w:rPr/>
              <w:t>(5.71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3" w:name="xdx_98E_eus-gaap--EarningsPerShareDilute"/>
            <w:bookmarkEnd w:id="403"/>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three months ended September 30, 2024, which are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5480"/>
        <w:gridCol w:w="60"/>
        <w:gridCol w:w="177"/>
        <w:gridCol w:w="1013"/>
        <w:gridCol w:w="95"/>
        <w:gridCol w:w="60"/>
        <w:gridCol w:w="169"/>
        <w:gridCol w:w="676"/>
        <w:gridCol w:w="95"/>
        <w:gridCol w:w="60"/>
        <w:gridCol w:w="177"/>
        <w:gridCol w:w="1013"/>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b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br/>
              <w:t>Warrant</w:t>
              <w:b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b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04" w:name="xdx_984_ecustom--NetLossBasicCalculation"/>
            <w:bookmarkEnd w:id="404"/>
          </w:p>
        </w:tc>
        <w:tc>
          <w:tcPr>
            <w:tcW w:w="1013" w:type="dxa"/>
            <w:tcBorders/>
            <w:shd w:fill="FFFFFF" w:val="clear"/>
            <w:vAlign w:val="center"/>
          </w:tcPr>
          <w:p>
            <w:pPr>
              <w:pStyle w:val="TableContents"/>
              <w:bidi w:val="0"/>
              <w:spacing w:before="0" w:after="283"/>
              <w:jc w:val="right"/>
              <w:rPr/>
            </w:pPr>
            <w:r>
              <w:rPr/>
              <w:t>(6,239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bookmarkStart w:id="405" w:name="xdx_985_ecustom--NetLossEffectOfDilutive"/>
            <w:bookmarkEnd w:id="405"/>
          </w:p>
        </w:tc>
        <w:tc>
          <w:tcPr>
            <w:tcW w:w="676"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06" w:name="xdx_982_ecustom--NetLossDilutedCalculati"/>
            <w:bookmarkEnd w:id="406"/>
          </w:p>
        </w:tc>
        <w:tc>
          <w:tcPr>
            <w:tcW w:w="1013" w:type="dxa"/>
            <w:tcBorders/>
            <w:shd w:fill="FFFFFF" w:val="clear"/>
            <w:vAlign w:val="center"/>
          </w:tcPr>
          <w:p>
            <w:pPr>
              <w:pStyle w:val="TableContents"/>
              <w:bidi w:val="0"/>
              <w:spacing w:before="0" w:after="283"/>
              <w:jc w:val="right"/>
              <w:rPr/>
            </w:pPr>
            <w:r>
              <w:rPr/>
              <w:t>(6,243</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7" w:name="xdx_986_ecustom--DeemedDividendRelatedTo"/>
            <w:bookmarkEnd w:id="407"/>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8" w:name="xdx_988_ecustom--DeemedDividendRelatedTo"/>
            <w:bookmarkEnd w:id="408"/>
          </w:p>
        </w:tc>
        <w:tc>
          <w:tcPr>
            <w:tcW w:w="6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9" w:name="xdx_98F_ecustom--DeemedDividendRelatedTo"/>
            <w:bookmarkEnd w:id="409"/>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0" w:name="xdx_98E_eus-gaap--NetIncomeLossAvailable"/>
            <w:bookmarkEnd w:id="410"/>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(6,239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1" w:name="xdx_986_ecustom--NetIncomeEffectOfDiluti"/>
            <w:bookmarkEnd w:id="411"/>
          </w:p>
        </w:tc>
        <w:tc>
          <w:tcPr>
            <w:tcW w:w="676" w:type="dxa"/>
            <w:tcBorders>
              <w:bottom w:val="double" w:sz="6"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2" w:name="xdx_98E_eus-gaap--NetIncomeLossAttributa"/>
            <w:bookmarkEnd w:id="412"/>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(6,243</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bookmarkStart w:id="413" w:name="xdx_98D_eus-gaap--WeightedAverageNumberO"/>
            <w:bookmarkEnd w:id="413"/>
          </w:p>
        </w:tc>
        <w:tc>
          <w:tcPr>
            <w:tcW w:w="1013" w:type="dxa"/>
            <w:tcBorders/>
            <w:shd w:fill="CCEEFF" w:val="clear"/>
            <w:vAlign w:val="center"/>
          </w:tcPr>
          <w:p>
            <w:pPr>
              <w:pStyle w:val="TableContents"/>
              <w:bidi w:val="0"/>
              <w:spacing w:before="0" w:after="283"/>
              <w:jc w:val="right"/>
              <w:rPr/>
            </w:pPr>
            <w:r>
              <w:rPr/>
              <w:t>896,305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414" w:name="xdx_98F_eus-gaap--WeightedAverageNumberD"/>
            <w:bookmarkEnd w:id="414"/>
          </w:p>
        </w:tc>
        <w:tc>
          <w:tcPr>
            <w:tcW w:w="676"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bookmarkStart w:id="415" w:name="xdx_984_eus-gaap--WeightedAverageNumberO"/>
            <w:bookmarkEnd w:id="415"/>
          </w:p>
        </w:tc>
        <w:tc>
          <w:tcPr>
            <w:tcW w:w="1013" w:type="dxa"/>
            <w:tcBorders/>
            <w:shd w:fill="CCEEFF" w:val="clear"/>
            <w:vAlign w:val="center"/>
          </w:tcPr>
          <w:p>
            <w:pPr>
              <w:pStyle w:val="TableContents"/>
              <w:bidi w:val="0"/>
              <w:spacing w:before="0" w:after="283"/>
              <w:jc w:val="right"/>
              <w:rPr/>
            </w:pPr>
            <w:r>
              <w:rPr/>
              <w:t>897,323</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16" w:name="xdx_987_eus-gaap--IncomeLossFromContinui"/>
            <w:bookmarkEnd w:id="416"/>
          </w:p>
        </w:tc>
        <w:tc>
          <w:tcPr>
            <w:tcW w:w="1013"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bookmarkStart w:id="417" w:name="xdx_983_ecustom--NetIncomeEffectOfDiluti"/>
            <w:bookmarkEnd w:id="417"/>
          </w:p>
        </w:tc>
        <w:tc>
          <w:tcPr>
            <w:tcW w:w="676"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18" w:name="xdx_989_eus-gaap--IncomeLossFromContinui"/>
            <w:bookmarkEnd w:id="418"/>
          </w:p>
        </w:tc>
        <w:tc>
          <w:tcPr>
            <w:tcW w:w="1013" w:type="dxa"/>
            <w:tcBorders/>
            <w:shd w:fill="FFFFFF" w:val="clear"/>
            <w:vAlign w:val="center"/>
          </w:tcPr>
          <w:p>
            <w:pPr>
              <w:pStyle w:val="TableContents"/>
              <w:bidi w:val="0"/>
              <w:spacing w:before="0" w:after="283"/>
              <w:jc w:val="right"/>
              <w:rPr/>
            </w:pPr>
            <w:r>
              <w:rPr/>
              <w:t>(6.96</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9" w:name="xdx_98D_ecustom--BasicDeemedDividendRela"/>
            <w:bookmarkEnd w:id="419"/>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0" w:name="xdx_98B_ecustom--DeemedDividendRelatedTo"/>
            <w:bookmarkEnd w:id="420"/>
          </w:p>
        </w:tc>
        <w:tc>
          <w:tcPr>
            <w:tcW w:w="6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1" w:name="xdx_982_ecustom--DilutedDeemedDividendRe"/>
            <w:bookmarkEnd w:id="421"/>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2" w:name="xdx_98D_eus-gaap--EarningsPerShareBasic_"/>
            <w:bookmarkEnd w:id="422"/>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3" w:name="xdx_987_ecustom--NetIncomeEffectOfDiluti"/>
            <w:bookmarkEnd w:id="423"/>
          </w:p>
        </w:tc>
        <w:tc>
          <w:tcPr>
            <w:tcW w:w="676" w:type="dxa"/>
            <w:tcBorders>
              <w:bottom w:val="double" w:sz="6"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4" w:name="xdx_985_eus-gaap--EarningsPerShareDilute"/>
            <w:bookmarkEnd w:id="424"/>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nine months ended September 30, 2024, which are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5480"/>
        <w:gridCol w:w="60"/>
        <w:gridCol w:w="177"/>
        <w:gridCol w:w="1013"/>
        <w:gridCol w:w="95"/>
        <w:gridCol w:w="60"/>
        <w:gridCol w:w="140"/>
        <w:gridCol w:w="800"/>
        <w:gridCol w:w="95"/>
        <w:gridCol w:w="60"/>
        <w:gridCol w:w="177"/>
        <w:gridCol w:w="1013"/>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b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br/>
              <w:t>Warrant</w:t>
              <w:b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b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25" w:name="xdx_982_ecustom--NetLossBasicCalculation"/>
            <w:bookmarkEnd w:id="425"/>
          </w:p>
        </w:tc>
        <w:tc>
          <w:tcPr>
            <w:tcW w:w="1013" w:type="dxa"/>
            <w:tcBorders/>
            <w:shd w:fill="FFFFFF" w:val="clear"/>
            <w:vAlign w:val="center"/>
          </w:tcPr>
          <w:p>
            <w:pPr>
              <w:pStyle w:val="TableContents"/>
              <w:bidi w:val="0"/>
              <w:spacing w:before="0" w:after="283"/>
              <w:jc w:val="right"/>
              <w:rPr/>
            </w:pPr>
            <w:r>
              <w:rPr/>
              <w:t>(9,329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26" w:name="xdx_98B_ecustom--NetLossEffectOfDilutive"/>
            <w:bookmarkEnd w:id="426"/>
          </w:p>
        </w:tc>
        <w:tc>
          <w:tcPr>
            <w:tcW w:w="800" w:type="dxa"/>
            <w:tcBorders/>
            <w:shd w:fill="FFFFFF" w:val="clear"/>
            <w:vAlign w:val="center"/>
          </w:tcPr>
          <w:p>
            <w:pPr>
              <w:pStyle w:val="TableContents"/>
              <w:bidi w:val="0"/>
              <w:spacing w:before="0" w:after="283"/>
              <w:jc w:val="right"/>
              <w:rPr/>
            </w:pPr>
            <w:r>
              <w:rPr/>
              <w:t>(3,530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27" w:name="xdx_982_ecustom--NetLossDilutedCalculati"/>
            <w:bookmarkEnd w:id="427"/>
          </w:p>
        </w:tc>
        <w:tc>
          <w:tcPr>
            <w:tcW w:w="1013" w:type="dxa"/>
            <w:tcBorders/>
            <w:shd w:fill="FFFFFF" w:val="clear"/>
            <w:vAlign w:val="center"/>
          </w:tcPr>
          <w:p>
            <w:pPr>
              <w:pStyle w:val="TableContents"/>
              <w:bidi w:val="0"/>
              <w:spacing w:before="0" w:after="283"/>
              <w:jc w:val="right"/>
              <w:rPr/>
            </w:pPr>
            <w:r>
              <w:rPr/>
              <w:t>(12,859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8" w:name="xdx_982_ecustom--DeemedDividendRelatedTo"/>
            <w:bookmarkEnd w:id="428"/>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9" w:name="xdx_988_ecustom--DeemedDividendRelatedTo"/>
            <w:bookmarkEnd w:id="429"/>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0" w:name="xdx_98B_ecustom--DeemedDividendRelatedTo"/>
            <w:bookmarkEnd w:id="430"/>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1" w:name="xdx_980_eus-gaap--NetIncomeLossAvailable"/>
            <w:bookmarkEnd w:id="431"/>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(9,329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2" w:name="xdx_98C_ecustom--NetIncomeEffectOfDiluti"/>
            <w:bookmarkEnd w:id="43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3" w:name="xdx_981_eus-gaap--NetIncomeLossAttributa"/>
            <w:bookmarkEnd w:id="433"/>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(12,859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bookmarkStart w:id="434" w:name="xdx_984_eus-gaap--WeightedAverageNumberO"/>
            <w:bookmarkEnd w:id="434"/>
          </w:p>
        </w:tc>
        <w:tc>
          <w:tcPr>
            <w:tcW w:w="1013" w:type="dxa"/>
            <w:tcBorders/>
            <w:shd w:fill="CCEEFF" w:val="clear"/>
            <w:vAlign w:val="center"/>
          </w:tcPr>
          <w:p>
            <w:pPr>
              <w:pStyle w:val="TableContents"/>
              <w:bidi w:val="0"/>
              <w:spacing w:before="0" w:after="283"/>
              <w:jc w:val="right"/>
              <w:rPr/>
            </w:pPr>
            <w:r>
              <w:rPr/>
              <w:t>539,252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35" w:name="xdx_989_eus-gaap--WeightedAverageNumberD"/>
            <w:bookmarkEnd w:id="435"/>
          </w:p>
        </w:tc>
        <w:tc>
          <w:tcPr>
            <w:tcW w:w="800" w:type="dxa"/>
            <w:tcBorders/>
            <w:shd w:fill="CCEEFF" w:val="clear"/>
            <w:vAlign w:val="center"/>
          </w:tcPr>
          <w:p>
            <w:pPr>
              <w:pStyle w:val="TableContents"/>
              <w:bidi w:val="0"/>
              <w:spacing w:before="0" w:after="283"/>
              <w:jc w:val="right"/>
              <w:rPr/>
            </w:pPr>
            <w:r>
              <w:rPr/>
              <w:t>117,216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bookmarkStart w:id="436" w:name="xdx_989_eus-gaap--WeightedAverageNumberO"/>
            <w:bookmarkEnd w:id="436"/>
          </w:p>
        </w:tc>
        <w:tc>
          <w:tcPr>
            <w:tcW w:w="1013" w:type="dxa"/>
            <w:tcBorders/>
            <w:shd w:fill="CCEEFF" w:val="clear"/>
            <w:vAlign w:val="center"/>
          </w:tcPr>
          <w:p>
            <w:pPr>
              <w:pStyle w:val="TableContents"/>
              <w:bidi w:val="0"/>
              <w:spacing w:before="0" w:after="283"/>
              <w:jc w:val="right"/>
              <w:rPr/>
            </w:pPr>
            <w:r>
              <w:rPr/>
              <w:t>656,468</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37" w:name="xdx_98D_eus-gaap--IncomeLossFromContinui"/>
            <w:bookmarkEnd w:id="437"/>
          </w:p>
        </w:tc>
        <w:tc>
          <w:tcPr>
            <w:tcW w:w="1013" w:type="dxa"/>
            <w:tcBorders/>
            <w:shd w:fill="FFFFFF" w:val="clear"/>
            <w:vAlign w:val="center"/>
          </w:tcPr>
          <w:p>
            <w:pPr>
              <w:pStyle w:val="TableContents"/>
              <w:bidi w:val="0"/>
              <w:spacing w:before="0" w:after="283"/>
              <w:jc w:val="right"/>
              <w:rPr/>
            </w:pPr>
            <w:r>
              <w:rPr/>
              <w:t>(17.30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38" w:name="xdx_984_ecustom--NetIncomeEffectOfDiluti"/>
            <w:bookmarkEnd w:id="438"/>
          </w:p>
        </w:tc>
        <w:tc>
          <w:tcPr>
            <w:tcW w:w="800" w:type="dxa"/>
            <w:tcBorders/>
            <w:shd w:fill="FFFFFF" w:val="clear"/>
            <w:vAlign w:val="center"/>
          </w:tcPr>
          <w:p>
            <w:pPr>
              <w:pStyle w:val="TableContents"/>
              <w:bidi w:val="0"/>
              <w:spacing w:before="0" w:after="283"/>
              <w:jc w:val="right"/>
              <w:rPr/>
            </w:pPr>
            <w:r>
              <w:rPr/>
              <w:t>(30.12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439" w:name="xdx_987_eus-gaap--IncomeLossFromContinui"/>
            <w:bookmarkEnd w:id="439"/>
          </w:p>
        </w:tc>
        <w:tc>
          <w:tcPr>
            <w:tcW w:w="1013" w:type="dxa"/>
            <w:tcBorders/>
            <w:shd w:fill="FFFFFF" w:val="clear"/>
            <w:vAlign w:val="center"/>
          </w:tcPr>
          <w:p>
            <w:pPr>
              <w:pStyle w:val="TableContents"/>
              <w:bidi w:val="0"/>
              <w:spacing w:before="0" w:after="283"/>
              <w:jc w:val="right"/>
              <w:rPr/>
            </w:pPr>
            <w:r>
              <w:rPr/>
              <w:t>(19.59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0" w:name="xdx_982_ecustom--BasicDeemedDividendRela"/>
            <w:bookmarkEnd w:id="440"/>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1" w:name="xdx_98D_ecustom--DeemedDividendRelatedTo"/>
            <w:bookmarkEnd w:id="441"/>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2" w:name="xdx_980_ecustom--DilutedDeemedDividendRe"/>
            <w:bookmarkEnd w:id="442"/>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3" w:name="xdx_983_eus-gaap--EarningsPerShareBasic_"/>
            <w:bookmarkEnd w:id="443"/>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(17.30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4" w:name="xdx_98D_ecustom--NetIncomeEffectOfDiluti"/>
            <w:bookmarkEnd w:id="44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(19.59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45" w:name="xdx_8A8_ze880DGdy7Z4"/>
      <w:bookmarkEnd w:id="44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6" w:name="xdx_803_eus-gaap--InventoryDisclosureTex"/>
      <w:bookmarkEnd w:id="446"/>
      <w:r>
        <w:rPr>
          <w:rFonts w:ascii="Times New Roman;Times;Serif" w:hAnsi="Times New Roman;Times;Serif"/>
          <w:b/>
          <w:i w:val="false"/>
          <w:caps w:val="false"/>
          <w:smallCaps w:val="false"/>
          <w:sz w:val="20"/>
        </w:rPr>
        <w:t xml:space="preserve">5. </w:t>
      </w:r>
      <w:bookmarkStart w:id="447" w:name="xdx_82C_zu23pPYDspjf"/>
      <w:bookmarkEnd w:id="447"/>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8" w:name="xdx_898_eus-gaap--ScheduleOfInventoryCur"/>
      <w:bookmarkEnd w:id="448"/>
      <w:r>
        <w:rPr>
          <w:rFonts w:ascii="Times New Roman;Times;Serif" w:hAnsi="Times New Roman;Times;Serif"/>
          <w:b w:val="false"/>
          <w:i w:val="false"/>
          <w:caps w:val="false"/>
          <w:smallCaps w:val="false"/>
          <w:sz w:val="20"/>
        </w:rPr>
        <w:t>Inventories consisted of the following (in thousands):</w:t>
      </w:r>
    </w:p>
    <w:p>
      <w:pPr>
        <w:pStyle w:val="TextBody"/>
        <w:bidi w:val="0"/>
        <w:spacing w:before="0" w:after="0"/>
        <w:ind w:left="0" w:right="0" w:hanging="0"/>
        <w:jc w:val="both"/>
        <w:rPr>
          <w:caps w:val="false"/>
          <w:smallCaps w:val="false"/>
        </w:rPr>
      </w:pPr>
      <w:r>
        <w:rPr>
          <w:caps w:val="false"/>
          <w:smallCaps w:val="false"/>
        </w:rPr>
        <w:t> </w:t>
      </w:r>
      <w:bookmarkStart w:id="449" w:name="xdx_8B1_z4fS03zGGxy9"/>
      <w:bookmarkEnd w:id="449"/>
      <w:r>
        <w:rPr>
          <w:rFonts w:ascii="Times New Roman;Times;Serif" w:hAnsi="Times New Roman;Times;Serif"/>
          <w:b w:val="false"/>
          <w:i w:val="false"/>
          <w:caps w:val="false"/>
          <w:smallCaps w:val="false"/>
          <w:sz w:val="20"/>
        </w:rPr>
        <w:t>Schedule of Components of Inventory</w:t>
      </w:r>
    </w:p>
    <w:tbl>
      <w:tblPr>
        <w:tblW w:w="4738" w:type="dxa"/>
        <w:jc w:val="left"/>
        <w:tblInd w:w="0" w:type="dxa"/>
        <w:tblLayout w:type="fixed"/>
        <w:tblCellMar>
          <w:top w:w="0" w:type="dxa"/>
          <w:left w:w="0" w:type="dxa"/>
          <w:bottom w:w="0" w:type="dxa"/>
          <w:right w:w="0" w:type="dxa"/>
        </w:tblCellMar>
      </w:tblPr>
      <w:tblGrid>
        <w:gridCol w:w="1475"/>
        <w:gridCol w:w="60"/>
        <w:gridCol w:w="413"/>
        <w:gridCol w:w="1121"/>
        <w:gridCol w:w="60"/>
        <w:gridCol w:w="60"/>
        <w:gridCol w:w="397"/>
        <w:gridCol w:w="1077"/>
        <w:gridCol w:w="75"/>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0" w:name="xdx_49B_20250930_zUTP5rJJOH8a"/>
            <w:bookmarkEnd w:id="450"/>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1" w:name="xdx_493_20241231_zaGzFB5ksBW9"/>
            <w:bookmarkEnd w:id="451"/>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bookmarkStart w:id="452" w:name="xdx_403_eus-gaap--InventoryRawMaterialsA"/>
            <w:bookmarkEnd w:id="452"/>
          </w:p>
        </w:tc>
      </w:tr>
      <w:tr>
        <w:trPr/>
        <w:tc>
          <w:tcPr>
            <w:tcW w:w="147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629</w:t>
            </w:r>
          </w:p>
        </w:tc>
        <w:tc>
          <w:tcPr>
            <w:tcW w:w="75" w:type="dxa"/>
            <w:tcBorders/>
            <w:shd w:fill="CCEEFF" w:val="clear"/>
            <w:vAlign w:val="center"/>
          </w:tcPr>
          <w:p>
            <w:pPr>
              <w:pStyle w:val="TableContents"/>
              <w:bidi w:val="0"/>
              <w:spacing w:before="0" w:after="283"/>
              <w:jc w:val="left"/>
              <w:rPr/>
            </w:pPr>
            <w:r>
              <w:rPr/>
              <w:t> </w:t>
            </w:r>
            <w:bookmarkStart w:id="453" w:name="xdx_40F_eus-gaap--InventoryWorkInProcess"/>
            <w:bookmarkEnd w:id="453"/>
          </w:p>
        </w:tc>
      </w:tr>
      <w:tr>
        <w:trPr/>
        <w:tc>
          <w:tcPr>
            <w:tcW w:w="1475" w:type="dxa"/>
            <w:tcBorders/>
            <w:shd w:fill="FFFFFF" w:val="clear"/>
            <w:vAlign w:val="center"/>
          </w:tcPr>
          <w:p>
            <w:pPr>
              <w:pStyle w:val="TableContents"/>
              <w:bidi w:val="0"/>
              <w:spacing w:before="0" w:after="283"/>
              <w:jc w:val="left"/>
              <w:rPr/>
            </w:pPr>
            <w:r>
              <w:rPr/>
              <w:t>WIP</w:t>
            </w:r>
          </w:p>
        </w:tc>
        <w:tc>
          <w:tcPr>
            <w:tcW w:w="60"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182</w:t>
            </w:r>
          </w:p>
        </w:tc>
        <w:tc>
          <w:tcPr>
            <w:tcW w:w="75" w:type="dxa"/>
            <w:tcBorders/>
            <w:shd w:fill="FFFFFF" w:val="clear"/>
            <w:vAlign w:val="center"/>
          </w:tcPr>
          <w:p>
            <w:pPr>
              <w:pStyle w:val="TableContents"/>
              <w:bidi w:val="0"/>
              <w:spacing w:before="0" w:after="283"/>
              <w:jc w:val="left"/>
              <w:rPr/>
            </w:pPr>
            <w:r>
              <w:rPr/>
              <w:t> </w:t>
            </w:r>
            <w:bookmarkStart w:id="454" w:name="xdx_400_eus-gaap--InventoryFinishedGoods"/>
            <w:bookmarkEnd w:id="454"/>
          </w:p>
        </w:tc>
      </w:tr>
      <w:tr>
        <w:trPr/>
        <w:tc>
          <w:tcPr>
            <w:tcW w:w="147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4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75" w:type="dxa"/>
            <w:tcBorders/>
            <w:shd w:fill="CCEEFF" w:val="clear"/>
            <w:vAlign w:val="center"/>
          </w:tcPr>
          <w:p>
            <w:pPr>
              <w:pStyle w:val="TableContents"/>
              <w:bidi w:val="0"/>
              <w:spacing w:before="0" w:after="283"/>
              <w:jc w:val="left"/>
              <w:rPr/>
            </w:pPr>
            <w:r>
              <w:rPr/>
              <w:t> </w:t>
            </w:r>
            <w:bookmarkStart w:id="455" w:name="xdx_404_ecustom--InventoryTotal_iTI_pn3n"/>
            <w:bookmarkEnd w:id="455"/>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pPr>
            <w:r>
              <w:rPr/>
              <w:t>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pPr>
            <w:r>
              <w:rPr/>
              <w:t>967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6" w:name="xdx_8A7_zfbehX2nZYK6"/>
      <w:bookmarkEnd w:id="4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inventories of approximately $</w:t>
      </w:r>
      <w:bookmarkStart w:id="457" w:name="xdx_908_eus-gaap--InventoryNet_iI_pn5n6_"/>
      <w:bookmarkEnd w:id="457"/>
      <w:r>
        <w:rPr>
          <w:rFonts w:ascii="Times New Roman;Times;Serif" w:hAnsi="Times New Roman;Times;Serif"/>
          <w:b w:val="false"/>
          <w:i w:val="false"/>
          <w:caps w:val="false"/>
          <w:smallCaps w:val="false"/>
          <w:sz w:val="20"/>
        </w:rPr>
        <w:t>0.4 million and $</w:t>
      </w:r>
      <w:bookmarkStart w:id="458" w:name="xdx_90F_eus-gaap--InventoryNoncurrent_iI"/>
      <w:bookmarkEnd w:id="458"/>
      <w:r>
        <w:rPr>
          <w:rFonts w:ascii="Times New Roman;Times;Serif" w:hAnsi="Times New Roman;Times;Serif"/>
          <w:b w:val="false"/>
          <w:i w:val="false"/>
          <w:caps w:val="false"/>
          <w:smallCaps w:val="false"/>
          <w:sz w:val="20"/>
        </w:rPr>
        <w:t>0.4 million were classified as current and long-term, respectively. Inventories classified as current represent the carrying value of inventories as of September 30, 2025, that management estimates will be sold or used by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9" w:name="xdx_807_eus-gaap--FairValueDisclosuresTe"/>
      <w:bookmarkEnd w:id="459"/>
      <w:r>
        <w:rPr>
          <w:rFonts w:ascii="Times New Roman;Times;Serif" w:hAnsi="Times New Roman;Times;Serif"/>
          <w:b/>
          <w:i w:val="false"/>
          <w:caps w:val="false"/>
          <w:smallCaps w:val="false"/>
          <w:sz w:val="20"/>
        </w:rPr>
        <w:t xml:space="preserve">6. </w:t>
      </w:r>
      <w:bookmarkStart w:id="460" w:name="xdx_823_z6cssBrcI9x"/>
      <w:bookmarkEnd w:id="460"/>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Measured and Recorded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warrants to purchase shares of common stock, which are considered derivative liabilities because they have certain rights which could require a cash settlement and are re-measured to fair value at each reporting period in accordance with accounting guidance. Fair value is based on the price that would be received from selling an asset or paid to transfer a liability in an orderly transaction between market participants at the measurement date, under a three-tier fair value hierarchy which prioritizes the inputs used in measuring fair value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32"/>
        <w:gridCol w:w="94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market prices for identical assets or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4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prices that are based on inputs not quoted on active markets but corroborated by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4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reflecting management’s assumptions, consistent with reasonably available assumptions made by other market participants. These valuations require significant judgment.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assets and liabilities measured at fair value in their entirety based on the lowest level of input that is significant to their fair value measurement. No financial assets or liabilities (except the derivative liabilities explained above) were measured on a recurring basis as of September 30, 2025, and December 31, 2024. The following tables set forth the financial liabilities measured at fair value on a recurring basis by level within the fair value hierarchy as of September 30, 2025, and December 31, 2024 (in thousands):</w:t>
      </w:r>
    </w:p>
    <w:p>
      <w:pPr>
        <w:pStyle w:val="TextBody"/>
        <w:bidi w:val="0"/>
        <w:spacing w:before="0" w:after="0"/>
        <w:ind w:left="0" w:right="0" w:hanging="0"/>
        <w:jc w:val="both"/>
        <w:rPr>
          <w:caps w:val="false"/>
          <w:smallCaps w:val="false"/>
        </w:rPr>
      </w:pPr>
      <w:bookmarkStart w:id="461" w:name="xdx_89F_eus-gaap--FairValueLiabilitiesMe"/>
      <w:bookmarkEnd w:id="461"/>
      <w:r>
        <w:rPr>
          <w:caps w:val="false"/>
          <w:smallCaps w:val="false"/>
        </w:rPr>
        <w:t> </w:t>
      </w:r>
      <w:bookmarkStart w:id="462" w:name="xdx_8B0_zln5aK3FSsq6"/>
      <w:bookmarkEnd w:id="462"/>
      <w:r>
        <w:rPr>
          <w:rFonts w:ascii="Times New Roman;Times;Serif" w:hAnsi="Times New Roman;Times;Serif"/>
          <w:b w:val="false"/>
          <w:i w:val="false"/>
          <w:caps w:val="false"/>
          <w:smallCaps w:val="false"/>
          <w:sz w:val="20"/>
        </w:rPr>
        <w:t>Schedule of Financial Liabilities Measured at Fair Value on Recurring Basis by Level Within Fair Value Hierarchy</w:t>
      </w:r>
    </w:p>
    <w:tbl>
      <w:tblPr>
        <w:tblW w:w="7908" w:type="dxa"/>
        <w:jc w:val="left"/>
        <w:tblInd w:w="0" w:type="dxa"/>
        <w:tblLayout w:type="fixed"/>
        <w:tblCellMar>
          <w:top w:w="0" w:type="dxa"/>
          <w:left w:w="0" w:type="dxa"/>
          <w:bottom w:w="0" w:type="dxa"/>
          <w:right w:w="0" w:type="dxa"/>
        </w:tblCellMar>
      </w:tblPr>
      <w:tblGrid>
        <w:gridCol w:w="2345"/>
        <w:gridCol w:w="60"/>
        <w:gridCol w:w="449"/>
        <w:gridCol w:w="305"/>
        <w:gridCol w:w="168"/>
        <w:gridCol w:w="168"/>
        <w:gridCol w:w="449"/>
        <w:gridCol w:w="305"/>
        <w:gridCol w:w="168"/>
        <w:gridCol w:w="168"/>
        <w:gridCol w:w="392"/>
        <w:gridCol w:w="1064"/>
        <w:gridCol w:w="168"/>
        <w:gridCol w:w="168"/>
        <w:gridCol w:w="392"/>
        <w:gridCol w:w="1064"/>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of September 30, 2025</w:t>
            </w:r>
          </w:p>
        </w:tc>
        <w:tc>
          <w:tcPr>
            <w:tcW w:w="75" w:type="dxa"/>
            <w:tcBorders/>
            <w:vAlign w:val="center"/>
          </w:tcPr>
          <w:p>
            <w:pPr>
              <w:pStyle w:val="TableContents"/>
              <w:bidi w:val="0"/>
              <w:spacing w:before="0" w:after="283"/>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463" w:name="xdx_98F_eus-gaap--FinancialLiabilitiesFa"/>
            <w:bookmarkEnd w:id="463"/>
          </w:p>
        </w:tc>
        <w:tc>
          <w:tcPr>
            <w:tcW w:w="305"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464" w:name="xdx_98A_eus-gaap--FinancialLiabilitiesFa"/>
            <w:bookmarkEnd w:id="464"/>
          </w:p>
        </w:tc>
        <w:tc>
          <w:tcPr>
            <w:tcW w:w="305"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w:t>
            </w:r>
            <w:bookmarkStart w:id="465" w:name="xdx_983_eus-gaap--FinancialLiabilitiesFa"/>
            <w:bookmarkEnd w:id="465"/>
          </w:p>
        </w:tc>
        <w:tc>
          <w:tcPr>
            <w:tcW w:w="1064" w:type="dxa"/>
            <w:tcBorders/>
            <w:shd w:fill="FFFFFF" w:val="clear"/>
            <w:vAlign w:val="center"/>
          </w:tcPr>
          <w:p>
            <w:pPr>
              <w:pStyle w:val="TableContents"/>
              <w:bidi w:val="0"/>
              <w:spacing w:before="0" w:after="283"/>
              <w:jc w:val="right"/>
              <w:rPr/>
            </w:pPr>
            <w:r>
              <w:rPr/>
              <w:t>870</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w:t>
            </w:r>
            <w:bookmarkStart w:id="466" w:name="xdx_987_eus-gaap--FinancialLiabilitiesFa"/>
            <w:bookmarkEnd w:id="466"/>
          </w:p>
        </w:tc>
        <w:tc>
          <w:tcPr>
            <w:tcW w:w="1064" w:type="dxa"/>
            <w:tcBorders/>
            <w:shd w:fill="FFFFFF" w:val="clear"/>
            <w:vAlign w:val="center"/>
          </w:tcPr>
          <w:p>
            <w:pPr>
              <w:pStyle w:val="TableContents"/>
              <w:bidi w:val="0"/>
              <w:spacing w:before="0" w:after="283"/>
              <w:jc w:val="right"/>
              <w:rPr/>
            </w:pPr>
            <w:r>
              <w:rPr/>
              <w:t>870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0" w:type="dxa"/>
          <w:left w:w="0" w:type="dxa"/>
          <w:bottom w:w="0" w:type="dxa"/>
          <w:right w:w="0" w:type="dxa"/>
        </w:tblCellMar>
      </w:tblPr>
      <w:tblGrid>
        <w:gridCol w:w="2345"/>
        <w:gridCol w:w="60"/>
        <w:gridCol w:w="449"/>
        <w:gridCol w:w="305"/>
        <w:gridCol w:w="166"/>
        <w:gridCol w:w="166"/>
        <w:gridCol w:w="449"/>
        <w:gridCol w:w="305"/>
        <w:gridCol w:w="166"/>
        <w:gridCol w:w="166"/>
        <w:gridCol w:w="387"/>
        <w:gridCol w:w="1052"/>
        <w:gridCol w:w="166"/>
        <w:gridCol w:w="166"/>
        <w:gridCol w:w="387"/>
        <w:gridCol w:w="1052"/>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of December 31, 2024</w:t>
            </w:r>
          </w:p>
        </w:tc>
        <w:tc>
          <w:tcPr>
            <w:tcW w:w="75" w:type="dxa"/>
            <w:tcBorders/>
            <w:vAlign w:val="center"/>
          </w:tcPr>
          <w:p>
            <w:pPr>
              <w:pStyle w:val="TableContents"/>
              <w:bidi w:val="0"/>
              <w:spacing w:before="0" w:after="283"/>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467" w:name="xdx_986_eus-gaap--FinancialLiabilitiesFa"/>
            <w:bookmarkEnd w:id="467"/>
          </w:p>
        </w:tc>
        <w:tc>
          <w:tcPr>
            <w:tcW w:w="305" w:type="dxa"/>
            <w:tcBorders/>
            <w:shd w:fill="FFFFFF" w:val="clear"/>
            <w:vAlign w:val="center"/>
          </w:tcPr>
          <w:p>
            <w:pPr>
              <w:pStyle w:val="TableContents"/>
              <w:bidi w:val="0"/>
              <w:spacing w:before="0" w:after="283"/>
              <w:jc w:val="right"/>
              <w:rPr/>
            </w:pPr>
            <w:r>
              <w:rPr/>
              <w:t>-</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468" w:name="xdx_98E_eus-gaap--FinancialLiabilitiesFa"/>
            <w:bookmarkEnd w:id="468"/>
          </w:p>
        </w:tc>
        <w:tc>
          <w:tcPr>
            <w:tcW w:w="305" w:type="dxa"/>
            <w:tcBorders/>
            <w:shd w:fill="FFFFFF" w:val="clear"/>
            <w:vAlign w:val="center"/>
          </w:tcPr>
          <w:p>
            <w:pPr>
              <w:pStyle w:val="TableContents"/>
              <w:bidi w:val="0"/>
              <w:spacing w:before="0" w:after="283"/>
              <w:jc w:val="right"/>
              <w:rPr/>
            </w:pPr>
            <w:r>
              <w:rPr/>
              <w:t>-</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w:t>
            </w:r>
            <w:bookmarkStart w:id="469" w:name="xdx_987_eus-gaap--FinancialLiabilitiesFa"/>
            <w:bookmarkEnd w:id="469"/>
          </w:p>
        </w:tc>
        <w:tc>
          <w:tcPr>
            <w:tcW w:w="1052" w:type="dxa"/>
            <w:tcBorders/>
            <w:shd w:fill="FFFFFF" w:val="clear"/>
            <w:vAlign w:val="center"/>
          </w:tcPr>
          <w:p>
            <w:pPr>
              <w:pStyle w:val="TableContents"/>
              <w:bidi w:val="0"/>
              <w:spacing w:before="0" w:after="283"/>
              <w:jc w:val="right"/>
              <w:rPr/>
            </w:pPr>
            <w:r>
              <w:rPr/>
              <w:t>208</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w:t>
            </w:r>
            <w:bookmarkStart w:id="470" w:name="xdx_983_eus-gaap--FinancialLiabilitiesFa"/>
            <w:bookmarkEnd w:id="470"/>
          </w:p>
        </w:tc>
        <w:tc>
          <w:tcPr>
            <w:tcW w:w="1052" w:type="dxa"/>
            <w:tcBorders/>
            <w:shd w:fill="FFFFFF" w:val="clear"/>
            <w:vAlign w:val="center"/>
          </w:tcPr>
          <w:p>
            <w:pPr>
              <w:pStyle w:val="TableContents"/>
              <w:bidi w:val="0"/>
              <w:spacing w:before="0" w:after="283"/>
              <w:jc w:val="right"/>
              <w:rPr/>
            </w:pPr>
            <w:r>
              <w:rPr/>
              <w:t>208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1" w:name="xdx_8A7_zTnxA0eh7cMb"/>
      <w:bookmarkEnd w:id="47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2" w:name="xdx_890_eus-gaap--FairValueLiabilitiesMe"/>
      <w:bookmarkEnd w:id="472"/>
      <w:r>
        <w:rPr>
          <w:rFonts w:ascii="Times New Roman;Times;Serif" w:hAnsi="Times New Roman;Times;Serif"/>
          <w:b w:val="false"/>
          <w:i w:val="false"/>
          <w:caps w:val="false"/>
          <w:smallCaps w:val="false"/>
          <w:sz w:val="20"/>
        </w:rPr>
        <w:t>The Company did not have any transfers of assets and liabilities between Level 1 and Level 2 of the fair value measurement hierarchy during the nine months ended September 30, 2025, and 2024. The following table presents a reconciliation of the derivative liabilities measured at fair value on a recurring basis using significant unobservable inputs (Level 3) during the nine months ended September 30, 2025, and 2024 (in thousands):</w:t>
      </w:r>
    </w:p>
    <w:p>
      <w:pPr>
        <w:pStyle w:val="TextBody"/>
        <w:bidi w:val="0"/>
        <w:spacing w:before="0" w:after="0"/>
        <w:ind w:left="0" w:right="0" w:hanging="0"/>
        <w:jc w:val="both"/>
        <w:rPr>
          <w:caps w:val="false"/>
          <w:smallCaps w:val="false"/>
        </w:rPr>
      </w:pPr>
      <w:r>
        <w:rPr>
          <w:caps w:val="false"/>
          <w:smallCaps w:val="false"/>
        </w:rPr>
        <w:t> </w:t>
      </w:r>
      <w:bookmarkStart w:id="473" w:name="xdx_8B8_zHW3vZuhOAjl"/>
      <w:bookmarkEnd w:id="473"/>
      <w:r>
        <w:rPr>
          <w:rFonts w:ascii="Times New Roman;Times;Serif" w:hAnsi="Times New Roman;Times;Serif"/>
          <w:b w:val="false"/>
          <w:i w:val="false"/>
          <w:caps w:val="false"/>
          <w:smallCaps w:val="false"/>
          <w:sz w:val="20"/>
        </w:rPr>
        <w:t>Schedule of Fair Value Measurement Hierarchy of Derivative Liability</w:t>
      </w:r>
    </w:p>
    <w:tbl>
      <w:tblPr>
        <w:tblW w:w="5039" w:type="dxa"/>
        <w:jc w:val="left"/>
        <w:tblInd w:w="0" w:type="dxa"/>
        <w:tblLayout w:type="fixed"/>
        <w:tblCellMar>
          <w:top w:w="0" w:type="dxa"/>
          <w:left w:w="0" w:type="dxa"/>
          <w:bottom w:w="0" w:type="dxa"/>
          <w:right w:w="0" w:type="dxa"/>
        </w:tblCellMar>
      </w:tblPr>
      <w:tblGrid>
        <w:gridCol w:w="3275"/>
        <w:gridCol w:w="60"/>
        <w:gridCol w:w="287"/>
        <w:gridCol w:w="1307"/>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Warrants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474" w:name="xdx_98B_eus-gaap--FairValueMeasurementWi"/>
            <w:bookmarkEnd w:id="474"/>
          </w:p>
        </w:tc>
        <w:tc>
          <w:tcPr>
            <w:tcW w:w="1307" w:type="dxa"/>
            <w:tcBorders/>
            <w:shd w:fill="CCEEFF" w:val="clear"/>
            <w:vAlign w:val="center"/>
          </w:tcPr>
          <w:p>
            <w:pPr>
              <w:pStyle w:val="TableContents"/>
              <w:bidi w:val="0"/>
              <w:spacing w:before="0" w:after="283"/>
              <w:jc w:val="right"/>
              <w:rPr/>
            </w:pPr>
            <w:r>
              <w:rPr/>
              <w:t>304</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 of derivatives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75" w:name="xdx_989_eus-gaap--FairValueMeasurementWi"/>
            <w:bookmarkEnd w:id="475"/>
          </w:p>
        </w:tc>
        <w:tc>
          <w:tcPr>
            <w:tcW w:w="1307" w:type="dxa"/>
            <w:tcBorders/>
            <w:shd w:fill="FFFFFF" w:val="clear"/>
            <w:vAlign w:val="center"/>
          </w:tcPr>
          <w:p>
            <w:pPr>
              <w:pStyle w:val="TableContents"/>
              <w:bidi w:val="0"/>
              <w:spacing w:before="0" w:after="283"/>
              <w:jc w:val="right"/>
              <w:rPr/>
            </w:pPr>
            <w:r>
              <w:rPr/>
              <w:t>3,366</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76" w:name="xdx_980_ecustom--FairValueMeasurementWit"/>
            <w:bookmarkEnd w:id="476"/>
          </w:p>
        </w:tc>
        <w:tc>
          <w:tcPr>
            <w:tcW w:w="1307"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77" w:name="xdx_98B_eus-gaap--FairValueMeasurementWi"/>
            <w:bookmarkEnd w:id="477"/>
          </w:p>
        </w:tc>
        <w:tc>
          <w:tcPr>
            <w:tcW w:w="1307" w:type="dxa"/>
            <w:tcBorders/>
            <w:shd w:fill="FFFFFF" w:val="clear"/>
            <w:vAlign w:val="center"/>
          </w:tcPr>
          <w:p>
            <w:pPr>
              <w:pStyle w:val="TableContents"/>
              <w:bidi w:val="0"/>
              <w:spacing w:before="0" w:after="283"/>
              <w:jc w:val="right"/>
              <w:rPr/>
            </w:pPr>
            <w:r>
              <w:rPr/>
              <w:t>(3,459</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8" w:name="xdx_98F_ecustom--FairValueMeasurementWit"/>
            <w:bookmarkEnd w:id="478"/>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September 30, 2024</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9" w:name="xdx_981_eus-gaap--FairValueMeasurementWi"/>
            <w:bookmarkEnd w:id="479"/>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224</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bookmarkStart w:id="480" w:name="xdx_98E_eus-gaap--FairValueMeasurementWi"/>
            <w:bookmarkEnd w:id="480"/>
          </w:p>
        </w:tc>
        <w:tc>
          <w:tcPr>
            <w:tcW w:w="1307" w:type="dxa"/>
            <w:tcBorders/>
            <w:shd w:fill="FFFFFF" w:val="clear"/>
            <w:vAlign w:val="center"/>
          </w:tcPr>
          <w:p>
            <w:pPr>
              <w:pStyle w:val="TableContents"/>
              <w:bidi w:val="0"/>
              <w:spacing w:before="0" w:after="283"/>
              <w:jc w:val="right"/>
              <w:rPr/>
            </w:pPr>
            <w:r>
              <w:rPr/>
              <w:t>208</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Issuance of derivatives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81" w:name="xdx_983_eus-gaap--FairValueMeasurementWi"/>
            <w:bookmarkEnd w:id="481"/>
          </w:p>
        </w:tc>
        <w:tc>
          <w:tcPr>
            <w:tcW w:w="1307" w:type="dxa"/>
            <w:tcBorders/>
            <w:shd w:fill="CCEEFF" w:val="clear"/>
            <w:vAlign w:val="center"/>
          </w:tcPr>
          <w:p>
            <w:pPr>
              <w:pStyle w:val="TableContents"/>
              <w:bidi w:val="0"/>
              <w:spacing w:before="0" w:after="283"/>
              <w:jc w:val="right"/>
              <w:rPr/>
            </w:pPr>
            <w:r>
              <w:rPr/>
              <w:t>495</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2" w:name="xdx_989_eus-gaap--FairValueMeasurementWi"/>
            <w:bookmarkEnd w:id="482"/>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3" w:name="xdx_984_eus-gaap--FairValueMeasurementWi"/>
            <w:bookmarkEnd w:id="483"/>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870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4" w:name="xdx_8AC_zBf0Ui8yYh28"/>
      <w:bookmarkEnd w:id="48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warrants to purchase shares of common stock, which are considered derivative liabilities because they have registration rights which could require a cash settlement and are re-measured to fair value at each reporting period in accordance with accounting guidance. As of September 30, 2025, and December 31, 2024, the derivative liability was calculated using the Monte Carlo simulation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5" w:name="xdx_895_eus-gaap--ScheduleOfAssumptionsU"/>
      <w:bookmarkEnd w:id="485"/>
      <w:r>
        <w:rPr>
          <w:rFonts w:ascii="Times New Roman;Times;Serif" w:hAnsi="Times New Roman;Times;Serif"/>
          <w:b w:val="false"/>
          <w:i w:val="false"/>
          <w:caps w:val="false"/>
          <w:smallCaps w:val="false"/>
          <w:sz w:val="20"/>
        </w:rPr>
        <w:t>The assumptions used in estimating the common stock warrant liability using the Monte Carlo simulation valuation model as of September 30, 2025, and December 31, 2024 were as follows:</w:t>
      </w:r>
    </w:p>
    <w:p>
      <w:pPr>
        <w:pStyle w:val="TextBody"/>
        <w:bidi w:val="0"/>
        <w:spacing w:before="0" w:after="0"/>
        <w:ind w:left="0" w:right="0" w:hanging="0"/>
        <w:jc w:val="both"/>
        <w:rPr>
          <w:caps w:val="false"/>
          <w:smallCaps w:val="false"/>
        </w:rPr>
      </w:pPr>
      <w:r>
        <w:rPr>
          <w:caps w:val="false"/>
          <w:smallCaps w:val="false"/>
        </w:rPr>
        <w:t> </w:t>
      </w:r>
      <w:bookmarkStart w:id="486" w:name="xdx_8B4_zTEMd9Hm2cz2"/>
      <w:bookmarkEnd w:id="486"/>
      <w:r>
        <w:rPr>
          <w:rFonts w:ascii="Times New Roman;Times;Serif" w:hAnsi="Times New Roman;Times;Serif"/>
          <w:b w:val="false"/>
          <w:i w:val="false"/>
          <w:caps w:val="false"/>
          <w:smallCaps w:val="false"/>
          <w:sz w:val="20"/>
        </w:rPr>
        <w:t>Schedule of Assumptions Used in Estimating Fair Value</w:t>
      </w:r>
    </w:p>
    <w:tbl>
      <w:tblPr>
        <w:tblW w:w="7090" w:type="dxa"/>
        <w:jc w:val="left"/>
        <w:tblInd w:w="0" w:type="dxa"/>
        <w:tblLayout w:type="fixed"/>
        <w:tblCellMar>
          <w:top w:w="0" w:type="dxa"/>
          <w:left w:w="0" w:type="dxa"/>
          <w:bottom w:w="0" w:type="dxa"/>
          <w:right w:w="0" w:type="dxa"/>
        </w:tblCellMar>
      </w:tblPr>
      <w:tblGrid>
        <w:gridCol w:w="3965"/>
        <w:gridCol w:w="60"/>
        <w:gridCol w:w="60"/>
        <w:gridCol w:w="1220"/>
        <w:gridCol w:w="215"/>
        <w:gridCol w:w="60"/>
        <w:gridCol w:w="60"/>
        <w:gridCol w:w="1220"/>
        <w:gridCol w:w="23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 xml:space="preserve">2025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 xml:space="preserve">2024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Weighted-average 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bookmarkStart w:id="487" w:name="xdx_909_eus-gaap--WarrantsAndRightsOutst"/>
            <w:bookmarkEnd w:id="487"/>
            <w:r>
              <w:rPr>
                <w:rFonts w:ascii="Times New Roman;Times;Serif" w:hAnsi="Times New Roman;Times;Serif"/>
                <w:sz w:val="20"/>
              </w:rPr>
              <w:t>3.57-</w:t>
            </w:r>
            <w:bookmarkStart w:id="488" w:name="xdx_906_eus-gaap--WarrantsAndRightsOutst"/>
            <w:bookmarkEnd w:id="488"/>
            <w:r>
              <w:rPr>
                <w:rFonts w:ascii="Times New Roman;Times;Serif" w:hAnsi="Times New Roman;Times;Serif"/>
                <w:sz w:val="20"/>
              </w:rPr>
              <w:t>3.69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bookmarkStart w:id="489" w:name="xdx_905_eus-gaap--WarrantsAndRightsOutst"/>
            <w:bookmarkEnd w:id="489"/>
            <w:r>
              <w:rPr>
                <w:rFonts w:ascii="Times New Roman;Times;Serif" w:hAnsi="Times New Roman;Times;Serif"/>
                <w:sz w:val="20"/>
              </w:rPr>
              <w:t>4.12-</w:t>
            </w:r>
            <w:bookmarkStart w:id="490" w:name="xdx_90C_eus-gaap--WarrantsAndRightsOutst"/>
            <w:bookmarkEnd w:id="490"/>
            <w:r>
              <w:rPr>
                <w:rFonts w:ascii="Times New Roman;Times;Serif" w:hAnsi="Times New Roman;Times;Serif"/>
                <w:sz w:val="20"/>
              </w:rPr>
              <w:t>4.35</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Weighted-average 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bookmarkStart w:id="491" w:name="xdx_900_eus-gaap--WarrantsAndRightsOutst"/>
            <w:bookmarkEnd w:id="491"/>
            <w:r>
              <w:rPr>
                <w:rFonts w:ascii="Times New Roman;Times;Serif" w:hAnsi="Times New Roman;Times;Serif"/>
                <w:sz w:val="20"/>
              </w:rPr>
              <w:t>0.05-</w:t>
            </w:r>
            <w:bookmarkStart w:id="492" w:name="xdx_90F_eus-gaap--WarrantsAndRightsOutst"/>
            <w:bookmarkEnd w:id="492"/>
            <w:r>
              <w:rPr>
                <w:rFonts w:ascii="Times New Roman;Times;Serif" w:hAnsi="Times New Roman;Times;Serif"/>
                <w:sz w:val="20"/>
              </w:rPr>
              <w:t>4.75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bookmarkStart w:id="493" w:name="xdx_905_eus-gaap--WarrantsAndRightsOutst"/>
            <w:bookmarkEnd w:id="493"/>
            <w:r>
              <w:rPr>
                <w:rFonts w:ascii="Times New Roman;Times;Serif" w:hAnsi="Times New Roman;Times;Serif"/>
                <w:sz w:val="20"/>
              </w:rPr>
              <w:t>0.10-</w:t>
            </w:r>
            <w:bookmarkStart w:id="494" w:name="xdx_90F_eus-gaap--WarrantsAndRightsOutst"/>
            <w:bookmarkEnd w:id="494"/>
            <w:r>
              <w:rPr>
                <w:rFonts w:ascii="Times New Roman;Times;Serif" w:hAnsi="Times New Roman;Times;Serif"/>
                <w:sz w:val="20"/>
              </w:rPr>
              <w:t>4.09</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95" w:name="xdx_983_eus-gaap--WarrantsAndRightsOutst"/>
            <w:bookmarkEnd w:id="495"/>
          </w:p>
        </w:tc>
        <w:tc>
          <w:tcPr>
            <w:tcW w:w="122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96" w:name="xdx_98D_eus-gaap--WarrantsAndRightsOutst"/>
            <w:bookmarkEnd w:id="496"/>
          </w:p>
        </w:tc>
        <w:tc>
          <w:tcPr>
            <w:tcW w:w="122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Weighted-average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bookmarkStart w:id="497" w:name="xdx_908_eus-gaap--WarrantsAndRightsOutst"/>
            <w:bookmarkEnd w:id="497"/>
            <w:r>
              <w:rPr>
                <w:rFonts w:ascii="Times New Roman;Times;Serif" w:hAnsi="Times New Roman;Times;Serif"/>
                <w:sz w:val="20"/>
              </w:rPr>
              <w:t>135.00-</w:t>
            </w:r>
            <w:bookmarkStart w:id="498" w:name="xdx_901_eus-gaap--WarrantsAndRightsOutst"/>
            <w:bookmarkEnd w:id="498"/>
            <w:r>
              <w:rPr>
                <w:rFonts w:ascii="Times New Roman;Times;Serif" w:hAnsi="Times New Roman;Times;Serif"/>
                <w:sz w:val="20"/>
              </w:rPr>
              <w:t>170.00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bookmarkStart w:id="499" w:name="xdx_904_eus-gaap--WarrantsAndRightsOutst"/>
            <w:bookmarkEnd w:id="499"/>
            <w:r>
              <w:rPr>
                <w:rFonts w:ascii="Times New Roman;Times;Serif" w:hAnsi="Times New Roman;Times;Serif"/>
                <w:sz w:val="20"/>
              </w:rPr>
              <w:t>140.00-</w:t>
            </w:r>
            <w:bookmarkStart w:id="500" w:name="xdx_903_eus-gaap--WarrantsAndRightsOutst"/>
            <w:bookmarkEnd w:id="500"/>
            <w:r>
              <w:rPr>
                <w:rFonts w:ascii="Times New Roman;Times;Serif" w:hAnsi="Times New Roman;Times;Serif"/>
                <w:sz w:val="20"/>
              </w:rPr>
              <w:t>210.00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01" w:name="xdx_8A6_znpTxGeju2gi"/>
      <w:bookmarkEnd w:id="50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recorded values of cash and cash equivalents, account and other receivables, accounts payable and accrued liabilities approximate their fair values based on their short-term nature. The recorded value of notes payable approximates the fair value as the interest rate approximates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2" w:name="xdx_80F_eus-gaap--AccountsPayableAccrued"/>
      <w:bookmarkEnd w:id="502"/>
      <w:r>
        <w:rPr>
          <w:rFonts w:ascii="Times New Roman;Times;Serif" w:hAnsi="Times New Roman;Times;Serif"/>
          <w:b/>
          <w:i w:val="false"/>
          <w:caps w:val="false"/>
          <w:smallCaps w:val="false"/>
          <w:sz w:val="20"/>
        </w:rPr>
        <w:t xml:space="preserve">7. </w:t>
      </w:r>
      <w:bookmarkStart w:id="503" w:name="xdx_82A_zEy0dmZhEfgd"/>
      <w:bookmarkEnd w:id="503"/>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4" w:name="xdx_898_eus-gaap--ScheduleOfAccruedLiabi"/>
      <w:bookmarkEnd w:id="504"/>
      <w:r>
        <w:rPr>
          <w:rFonts w:ascii="Times New Roman;Times;Serif" w:hAnsi="Times New Roman;Times;Serif"/>
          <w:b w:val="false"/>
          <w:i w:val="false"/>
          <w:caps w:val="false"/>
          <w:smallCaps w:val="false"/>
          <w:sz w:val="20"/>
        </w:rPr>
        <w:t>Accrued liabilities consisted of the following (in thousands):</w:t>
      </w:r>
    </w:p>
    <w:p>
      <w:pPr>
        <w:pStyle w:val="TextBody"/>
        <w:bidi w:val="0"/>
        <w:spacing w:before="0" w:after="0"/>
        <w:ind w:left="0" w:right="0" w:hanging="0"/>
        <w:jc w:val="both"/>
        <w:rPr>
          <w:caps w:val="false"/>
          <w:smallCaps w:val="false"/>
        </w:rPr>
      </w:pPr>
      <w:r>
        <w:rPr>
          <w:caps w:val="false"/>
          <w:smallCaps w:val="false"/>
        </w:rPr>
        <w:t> </w:t>
      </w:r>
      <w:bookmarkStart w:id="505" w:name="xdx_8B7_zDtnjjGYJzfb"/>
      <w:bookmarkEnd w:id="505"/>
      <w:r>
        <w:rPr>
          <w:rFonts w:ascii="Times New Roman;Times;Serif" w:hAnsi="Times New Roman;Times;Serif"/>
          <w:b w:val="false"/>
          <w:i w:val="false"/>
          <w:caps w:val="false"/>
          <w:smallCaps w:val="false"/>
          <w:sz w:val="20"/>
        </w:rPr>
        <w:t>Schedule of Accrued and Other Current Liabilities</w:t>
      </w:r>
    </w:p>
    <w:tbl>
      <w:tblPr>
        <w:tblW w:w="5894" w:type="dxa"/>
        <w:jc w:val="left"/>
        <w:tblInd w:w="0" w:type="dxa"/>
        <w:tblLayout w:type="fixed"/>
        <w:tblCellMar>
          <w:top w:w="0" w:type="dxa"/>
          <w:left w:w="0" w:type="dxa"/>
          <w:bottom w:w="0" w:type="dxa"/>
          <w:right w:w="0" w:type="dxa"/>
        </w:tblCellMar>
      </w:tblPr>
      <w:tblGrid>
        <w:gridCol w:w="2630"/>
        <w:gridCol w:w="60"/>
        <w:gridCol w:w="307"/>
        <w:gridCol w:w="1228"/>
        <w:gridCol w:w="60"/>
        <w:gridCol w:w="60"/>
        <w:gridCol w:w="397"/>
        <w:gridCol w:w="1077"/>
        <w:gridCol w:w="75"/>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6" w:name="xdx_495_20250930_zUs0q4NVeXI1"/>
            <w:bookmarkEnd w:id="506"/>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7" w:name="xdx_492_20241231_z9yE089oioU3"/>
            <w:bookmarkEnd w:id="507"/>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bookmarkStart w:id="508" w:name="xdx_405_eus-gaap--EmployeeRelatedLiabili"/>
            <w:bookmarkEnd w:id="508"/>
          </w:p>
        </w:tc>
      </w:tr>
      <w:tr>
        <w:trPr/>
        <w:tc>
          <w:tcPr>
            <w:tcW w:w="2630" w:type="dxa"/>
            <w:tcBorders/>
            <w:shd w:fill="CCEEFF" w:val="clear"/>
            <w:vAlign w:val="center"/>
          </w:tcPr>
          <w:p>
            <w:pPr>
              <w:pStyle w:val="TableContents"/>
              <w:bidi w:val="0"/>
              <w:spacing w:before="0" w:after="283"/>
              <w:jc w:val="left"/>
              <w:rPr/>
            </w:pPr>
            <w:r>
              <w:rPr/>
              <w:t>Payroll and related expense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bookmarkStart w:id="509" w:name="xdx_400_ecustom--AccruedPayableCurrent_i"/>
            <w:bookmarkEnd w:id="509"/>
          </w:p>
        </w:tc>
      </w:tr>
      <w:tr>
        <w:trPr/>
        <w:tc>
          <w:tcPr>
            <w:tcW w:w="2630" w:type="dxa"/>
            <w:tcBorders/>
            <w:shd w:fill="FFFFFF" w:val="clear"/>
            <w:vAlign w:val="center"/>
          </w:tcPr>
          <w:p>
            <w:pPr>
              <w:pStyle w:val="TableContents"/>
              <w:bidi w:val="0"/>
              <w:spacing w:before="0" w:after="283"/>
              <w:jc w:val="left"/>
              <w:rPr/>
            </w:pPr>
            <w:r>
              <w:rPr/>
              <w:t>Accrued payables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178</w:t>
            </w:r>
          </w:p>
        </w:tc>
        <w:tc>
          <w:tcPr>
            <w:tcW w:w="75" w:type="dxa"/>
            <w:tcBorders/>
            <w:shd w:fill="FFFFFF" w:val="clear"/>
            <w:vAlign w:val="center"/>
          </w:tcPr>
          <w:p>
            <w:pPr>
              <w:pStyle w:val="TableContents"/>
              <w:bidi w:val="0"/>
              <w:spacing w:before="0" w:after="283"/>
              <w:jc w:val="left"/>
              <w:rPr/>
            </w:pPr>
            <w:r>
              <w:rPr/>
              <w:t> </w:t>
            </w:r>
            <w:bookmarkStart w:id="510" w:name="xdx_40E_eus-gaap--OtherAccruedLiabilitie"/>
            <w:bookmarkEnd w:id="510"/>
          </w:p>
        </w:tc>
      </w:tr>
      <w:tr>
        <w:trPr/>
        <w:tc>
          <w:tcPr>
            <w:tcW w:w="263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408</w:t>
            </w:r>
          </w:p>
        </w:tc>
        <w:tc>
          <w:tcPr>
            <w:tcW w:w="75" w:type="dxa"/>
            <w:tcBorders/>
            <w:shd w:fill="CCEEFF" w:val="clear"/>
            <w:vAlign w:val="center"/>
          </w:tcPr>
          <w:p>
            <w:pPr>
              <w:pStyle w:val="TableContents"/>
              <w:bidi w:val="0"/>
              <w:spacing w:before="0" w:after="283"/>
              <w:jc w:val="left"/>
              <w:rPr/>
            </w:pPr>
            <w:r>
              <w:rPr/>
              <w:t> </w:t>
            </w:r>
            <w:bookmarkStart w:id="511" w:name="xdx_40E_eus-gaap--AccruedLiabilitiesCurr"/>
            <w:bookmarkEnd w:id="511"/>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other liabilities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pPr>
            <w:r>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pPr>
            <w:r>
              <w:rPr/>
              <w:t>986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2" w:name="xdx_8A4_zb5I2wxbgRMj"/>
      <w:bookmarkEnd w:id="5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 consisted of deposits for stock issuance of $</w:t>
      </w:r>
      <w:bookmarkStart w:id="513" w:name="xdx_90B_eus-gaap--Deposits_iI_pn5n6_c202"/>
      <w:bookmarkEnd w:id="513"/>
      <w:r>
        <w:rPr>
          <w:rFonts w:ascii="Times New Roman;Times;Serif" w:hAnsi="Times New Roman;Times;Serif"/>
          <w:b w:val="false"/>
          <w:i w:val="false"/>
          <w:caps w:val="false"/>
          <w:smallCaps w:val="false"/>
          <w:sz w:val="20"/>
        </w:rPr>
        <w:t>1.8 million. The stock issuance is related to the 2025 Warrant Inducement (see Note 9), and the stock is held in abeyance, as of September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4" w:name="xdx_803_eus-gaap--DebtDisclosureTextBloc"/>
      <w:bookmarkEnd w:id="514"/>
      <w:r>
        <w:rPr>
          <w:rFonts w:ascii="Times New Roman;Times;Serif" w:hAnsi="Times New Roman;Times;Serif"/>
          <w:b/>
          <w:i w:val="false"/>
          <w:caps w:val="false"/>
          <w:smallCaps w:val="false"/>
          <w:sz w:val="20"/>
        </w:rPr>
        <w:t xml:space="preserve">8. </w:t>
      </w:r>
      <w:bookmarkStart w:id="515" w:name="xdx_828_zX30CHokxfj3"/>
      <w:bookmarkEnd w:id="515"/>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Premium Finance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in connection with securing commercial liability insurance, the Company entered into a Premium Finance Arrangement to extend the premium payment out for a period of 10 months. The Company paid a total of $</w:t>
      </w:r>
      <w:bookmarkStart w:id="516" w:name="xdx_90F_ecustom--UpFrontInsurancePremium"/>
      <w:bookmarkEnd w:id="516"/>
      <w:r>
        <w:rPr>
          <w:rFonts w:ascii="Times New Roman;Times;Serif" w:hAnsi="Times New Roman;Times;Serif"/>
          <w:b w:val="false"/>
          <w:i w:val="false"/>
          <w:caps w:val="false"/>
          <w:smallCaps w:val="false"/>
          <w:sz w:val="20"/>
        </w:rPr>
        <w:t>26,000 up front toward the insurance premium and financed approximately $</w:t>
      </w:r>
      <w:bookmarkStart w:id="517" w:name="xdx_90E_ecustom--FinancedInsurancePremiu"/>
      <w:bookmarkEnd w:id="517"/>
      <w:r>
        <w:rPr>
          <w:rFonts w:ascii="Times New Roman;Times;Serif" w:hAnsi="Times New Roman;Times;Serif"/>
          <w:b w:val="false"/>
          <w:i w:val="false"/>
          <w:caps w:val="false"/>
          <w:smallCaps w:val="false"/>
          <w:sz w:val="20"/>
        </w:rPr>
        <w:t xml:space="preserve">117,000. The Company made 10 equal payments under the terms of the Premium Finance Agreement. The Premium Finance Agreement bears interest at an annual percentage rate of </w:t>
      </w:r>
      <w:bookmarkStart w:id="518" w:name="xdx_908_eus-gaap--DebtInstrumentInterest"/>
      <w:bookmarkEnd w:id="518"/>
      <w:r>
        <w:rPr>
          <w:rFonts w:ascii="Times New Roman;Times;Serif" w:hAnsi="Times New Roman;Times;Serif"/>
          <w:b w:val="false"/>
          <w:i w:val="false"/>
          <w:caps w:val="false"/>
          <w:smallCaps w:val="false"/>
          <w:sz w:val="20"/>
        </w:rPr>
        <w:t>8.75%. The loan was paid in full during the first quarter of 2025 and there was</w:t>
      </w:r>
      <w:bookmarkStart w:id="519" w:name="xdx_907_eus-gaap--DebtInstrumentFaceAmou"/>
      <w:bookmarkEnd w:id="519"/>
      <w:r>
        <w:rPr>
          <w:rFonts w:ascii="Times New Roman;Times;Serif" w:hAnsi="Times New Roman;Times;Serif"/>
          <w:b w:val="false"/>
          <w:i w:val="false"/>
          <w:caps w:val="false"/>
          <w:smallCaps w:val="false"/>
          <w:sz w:val="20"/>
        </w:rPr>
        <w:t xml:space="preserve"> no outstanding balance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 connection with securing Director and Officer professional liability insurance, the Company entered into a Premium Finance Arrangement to extend the premium payment out for a period of 10 months. The Company paid a total of $</w:t>
      </w:r>
      <w:bookmarkStart w:id="520" w:name="xdx_909_ecustom--UpFrontInsurancePremium"/>
      <w:bookmarkEnd w:id="520"/>
      <w:r>
        <w:rPr>
          <w:rFonts w:ascii="Times New Roman;Times;Serif" w:hAnsi="Times New Roman;Times;Serif"/>
          <w:b w:val="false"/>
          <w:i w:val="false"/>
          <w:caps w:val="false"/>
          <w:smallCaps w:val="false"/>
          <w:sz w:val="20"/>
        </w:rPr>
        <w:t>26,000 up front toward the insurance premium and financed approximately $</w:t>
      </w:r>
      <w:bookmarkStart w:id="521" w:name="xdx_90D_ecustom--FinancedInsurancePremiu"/>
      <w:bookmarkEnd w:id="521"/>
      <w:r>
        <w:rPr>
          <w:rFonts w:ascii="Times New Roman;Times;Serif" w:hAnsi="Times New Roman;Times;Serif"/>
          <w:b w:val="false"/>
          <w:i w:val="false"/>
          <w:caps w:val="false"/>
          <w:smallCaps w:val="false"/>
          <w:sz w:val="20"/>
        </w:rPr>
        <w:t xml:space="preserve">145,000. The Company will make 10 equal payments under the terms of the Premium Finance Agreement. The Premium Finance Agreement bears interest at an annual percentage rate of </w:t>
      </w:r>
      <w:bookmarkStart w:id="522" w:name="xdx_902_eus-gaap--DebtInstrumentInterest"/>
      <w:bookmarkEnd w:id="522"/>
      <w:r>
        <w:rPr>
          <w:rFonts w:ascii="Times New Roman;Times;Serif" w:hAnsi="Times New Roman;Times;Serif"/>
          <w:b w:val="false"/>
          <w:i w:val="false"/>
          <w:caps w:val="false"/>
          <w:smallCaps w:val="false"/>
          <w:sz w:val="20"/>
        </w:rPr>
        <w:t>7.45%. The outstanding balance totaled $</w:t>
      </w:r>
      <w:bookmarkStart w:id="523" w:name="xdx_90D_eus-gaap--DebtInstrumentFaceAmou"/>
      <w:bookmarkEnd w:id="523"/>
      <w:r>
        <w:rPr>
          <w:rFonts w:ascii="Times New Roman;Times;Serif" w:hAnsi="Times New Roman;Times;Serif"/>
          <w:b w:val="false"/>
          <w:i w:val="false"/>
          <w:caps w:val="false"/>
          <w:smallCaps w:val="false"/>
          <w:sz w:val="20"/>
        </w:rPr>
        <w:t>45,000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in connection with securing general liability insurance, the Company entered into a Premium Finance Arrangement to extend the premium payment out for a period of 5 months. The Company paid a total of $</w:t>
      </w:r>
      <w:bookmarkStart w:id="524" w:name="xdx_904_eus-gaap--PaymentsForUnderwritin"/>
      <w:bookmarkEnd w:id="524"/>
      <w:r>
        <w:rPr>
          <w:rFonts w:ascii="Times New Roman;Times;Serif" w:hAnsi="Times New Roman;Times;Serif"/>
          <w:b w:val="false"/>
          <w:i w:val="false"/>
          <w:caps w:val="false"/>
          <w:smallCaps w:val="false"/>
          <w:sz w:val="20"/>
        </w:rPr>
        <w:t>14,000 up front toward the insurance premium and financed approximately $</w:t>
      </w:r>
      <w:bookmarkStart w:id="525" w:name="xdx_90C_eus-gaap--PaymentsToAcquireFinan"/>
      <w:bookmarkEnd w:id="525"/>
      <w:r>
        <w:rPr>
          <w:rFonts w:ascii="Times New Roman;Times;Serif" w:hAnsi="Times New Roman;Times;Serif"/>
          <w:b w:val="false"/>
          <w:i w:val="false"/>
          <w:caps w:val="false"/>
          <w:smallCaps w:val="false"/>
          <w:sz w:val="20"/>
        </w:rPr>
        <w:t xml:space="preserve">21,000. The Company will make 3 equal payments under the terms of the Premium Finance Agreement. The Premium Finance Agreement bears interest at an annual percentage rate of </w:t>
      </w:r>
      <w:bookmarkStart w:id="526" w:name="xdx_901_eus-gaap--DebtInstrumentInterest"/>
      <w:bookmarkEnd w:id="526"/>
      <w:r>
        <w:rPr>
          <w:rFonts w:ascii="Times New Roman;Times;Serif" w:hAnsi="Times New Roman;Times;Serif"/>
          <w:b w:val="false"/>
          <w:i w:val="false"/>
          <w:caps w:val="false"/>
          <w:smallCaps w:val="false"/>
          <w:sz w:val="20"/>
        </w:rPr>
        <w:t>11.15%. The outstanding balance totaled $</w:t>
      </w:r>
      <w:bookmarkStart w:id="527" w:name="xdx_903_eus-gaap--ShorttermDebtAverageOu"/>
      <w:bookmarkEnd w:id="527"/>
      <w:r>
        <w:rPr>
          <w:rFonts w:ascii="Times New Roman;Times;Serif" w:hAnsi="Times New Roman;Times;Serif"/>
          <w:b w:val="false"/>
          <w:i w:val="false"/>
          <w:caps w:val="false"/>
          <w:smallCaps w:val="false"/>
          <w:sz w:val="20"/>
        </w:rPr>
        <w:t>14,000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8" w:name="xdx_800_eus-gaap--StockholdersEquityNote"/>
      <w:bookmarkEnd w:id="528"/>
      <w:r>
        <w:rPr>
          <w:rFonts w:ascii="Times New Roman;Times;Serif" w:hAnsi="Times New Roman;Times;Serif"/>
          <w:b/>
          <w:i w:val="false"/>
          <w:caps w:val="false"/>
          <w:smallCaps w:val="false"/>
          <w:sz w:val="20"/>
        </w:rPr>
        <w:t xml:space="preserve">9. </w:t>
      </w:r>
      <w:bookmarkStart w:id="529" w:name="xdx_82F_zoyE5stnaTg9"/>
      <w:bookmarkEnd w:id="529"/>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Warrant Inducement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2025, the Company entered into an inducement agreement (the “Inducement Letter”) with certain holders of certain of the Company’s existing warrants to purchase up to an aggregate of </w:t>
      </w:r>
      <w:bookmarkStart w:id="530" w:name="xdx_903_eus-gaap--ClassOfWarrantOrRightO"/>
      <w:bookmarkEnd w:id="530"/>
      <w:r>
        <w:rPr>
          <w:rFonts w:ascii="Times New Roman;Times;Serif" w:hAnsi="Times New Roman;Times;Serif"/>
          <w:b w:val="false"/>
          <w:i w:val="false"/>
          <w:caps w:val="false"/>
          <w:smallCaps w:val="false"/>
          <w:sz w:val="20"/>
        </w:rPr>
        <w:t>1,099,431 shares of the Company’s common stock originally issued on February 25, 2025, with a five and one-half (</w:t>
      </w:r>
      <w:bookmarkStart w:id="531" w:name="xdx_900_eus-gaap--WarrantsAndRightsOutst"/>
      <w:bookmarkEnd w:id="531"/>
      <w:r>
        <w:rPr>
          <w:rFonts w:ascii="Times New Roman;Times;Serif" w:hAnsi="Times New Roman;Times;Serif"/>
          <w:b w:val="false"/>
          <w:i w:val="false"/>
          <w:caps w:val="false"/>
          <w:smallCaps w:val="false"/>
          <w:sz w:val="20"/>
        </w:rPr>
        <w:t>5.5) years term at an exercise price of $</w:t>
      </w:r>
      <w:bookmarkStart w:id="532" w:name="xdx_90F_eus-gaap--ClassOfWarrantOrRightE"/>
      <w:bookmarkEnd w:id="532"/>
      <w:r>
        <w:rPr>
          <w:rFonts w:ascii="Times New Roman;Times;Serif" w:hAnsi="Times New Roman;Times;Serif"/>
          <w:b w:val="false"/>
          <w:i w:val="false"/>
          <w:caps w:val="false"/>
          <w:smallCaps w:val="false"/>
          <w:sz w:val="20"/>
        </w:rPr>
        <w:t>3.32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Inducement Letter, the warrant holders agreed to exercise for cash the existing warrants to purchase an aggregate of </w:t>
      </w:r>
      <w:bookmarkStart w:id="533" w:name="xdx_904_eus-gaap--ClassOfWarrantOrRightO"/>
      <w:bookmarkEnd w:id="533"/>
      <w:r>
        <w:rPr>
          <w:rFonts w:ascii="Times New Roman;Times;Serif" w:hAnsi="Times New Roman;Times;Serif"/>
          <w:b w:val="false"/>
          <w:i w:val="false"/>
          <w:caps w:val="false"/>
          <w:smallCaps w:val="false"/>
          <w:sz w:val="20"/>
        </w:rPr>
        <w:t>1,099,431 shares of the Company’s common stock at an exercise price of $</w:t>
      </w:r>
      <w:bookmarkStart w:id="534" w:name="xdx_90E_eus-gaap--ClassOfWarrantOrRightE"/>
      <w:bookmarkEnd w:id="534"/>
      <w:r>
        <w:rPr>
          <w:rFonts w:ascii="Times New Roman;Times;Serif" w:hAnsi="Times New Roman;Times;Serif"/>
          <w:b w:val="false"/>
          <w:i w:val="false"/>
          <w:caps w:val="false"/>
          <w:smallCaps w:val="false"/>
          <w:sz w:val="20"/>
        </w:rPr>
        <w:t xml:space="preserve">3.32 per share in consideration of the Company’s agreement to issue new common stock purchase warrants to purchase up to an aggregate of </w:t>
      </w:r>
      <w:bookmarkStart w:id="535" w:name="xdx_905_eus-gaap--ClassOfWarrantOrRightO"/>
      <w:bookmarkEnd w:id="535"/>
      <w:r>
        <w:rPr>
          <w:rFonts w:ascii="Times New Roman;Times;Serif" w:hAnsi="Times New Roman;Times;Serif"/>
          <w:b w:val="false"/>
          <w:i w:val="false"/>
          <w:caps w:val="false"/>
          <w:smallCaps w:val="false"/>
          <w:sz w:val="20"/>
        </w:rPr>
        <w:t>1,649,147 shares of the Company’s common stock at an exercise price of $</w:t>
      </w:r>
      <w:bookmarkStart w:id="536" w:name="xdx_909_eus-gaap--ClassOfWarrantOrRightE"/>
      <w:bookmarkEnd w:id="536"/>
      <w:r>
        <w:rPr>
          <w:rFonts w:ascii="Times New Roman;Times;Serif" w:hAnsi="Times New Roman;Times;Serif"/>
          <w:b w:val="false"/>
          <w:i w:val="false"/>
          <w:caps w:val="false"/>
          <w:smallCaps w:val="false"/>
          <w:sz w:val="20"/>
        </w:rPr>
        <w:t>4.79 per share. In addition, the warrant holders agreed to pay $</w:t>
      </w:r>
      <w:bookmarkStart w:id="537" w:name="xdx_908_eus-gaap--SharePrice_iI_pid_c202"/>
      <w:bookmarkEnd w:id="537"/>
      <w:r>
        <w:rPr>
          <w:rFonts w:ascii="Times New Roman;Times;Serif" w:hAnsi="Times New Roman;Times;Serif"/>
          <w:b w:val="false"/>
          <w:i w:val="false"/>
          <w:caps w:val="false"/>
          <w:smallCaps w:val="false"/>
          <w:sz w:val="20"/>
        </w:rPr>
        <w:t>0.125 per new warrant as consideration for the issuance of the new warrants. The Company received aggregate gross proceeds of approximately $</w:t>
      </w:r>
      <w:bookmarkStart w:id="538" w:name="xdx_906_eus-gaap--ProceedsFromWarrantExe"/>
      <w:bookmarkEnd w:id="538"/>
      <w:r>
        <w:rPr>
          <w:rFonts w:ascii="Times New Roman;Times;Serif" w:hAnsi="Times New Roman;Times;Serif"/>
          <w:b w:val="false"/>
          <w:i w:val="false"/>
          <w:caps w:val="false"/>
          <w:smallCaps w:val="false"/>
          <w:sz w:val="20"/>
        </w:rPr>
        <w:t>3.8 million from the exercise of the existing warrants by the warrant holder, before deducting placement agent fees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warrant on the issuance date using the Black-Scholes-Merton valuation model. The aggregate fair value of the new warrants issued as part of the inducement was $</w:t>
      </w:r>
      <w:bookmarkStart w:id="539" w:name="xdx_908_eus-gaap--FairValueAdjustmentOfW"/>
      <w:bookmarkEnd w:id="539"/>
      <w:r>
        <w:rPr>
          <w:rFonts w:ascii="Times New Roman;Times;Serif" w:hAnsi="Times New Roman;Times;Serif"/>
          <w:b w:val="false"/>
          <w:i w:val="false"/>
          <w:caps w:val="false"/>
          <w:smallCaps w:val="false"/>
          <w:sz w:val="20"/>
        </w:rPr>
        <w:t>6.7 million, which is presented as a deemed dividend on the condensed consolidated statements of operations and the condensed consolidated statements of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Capital Raise and registration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entered into a Securities Purchase Agreement (the “Purchase Agreement”) under which it sold securities to certain institutional and accredited investors for aggregate gross proceeds of $</w:t>
      </w:r>
      <w:bookmarkStart w:id="540" w:name="xdx_903_eus-gaap--ProceedsFromIssuanceOf"/>
      <w:bookmarkEnd w:id="540"/>
      <w:r>
        <w:rPr>
          <w:rFonts w:ascii="Times New Roman;Times;Serif" w:hAnsi="Times New Roman;Times;Serif"/>
          <w:b w:val="false"/>
          <w:i w:val="false"/>
          <w:caps w:val="false"/>
          <w:smallCaps w:val="false"/>
          <w:sz w:val="20"/>
        </w:rPr>
        <w:t xml:space="preserve">5.0 million, before deducting fees to the placement agent and other expenses payable by the Company in connection with the private placement. As part of the Private Placement, the Company issued (i) </w:t>
      </w:r>
      <w:bookmarkStart w:id="541" w:name="xdx_902_eus-gaap--CommonStockSharesIssue"/>
      <w:bookmarkEnd w:id="541"/>
      <w:r>
        <w:rPr>
          <w:rFonts w:ascii="Times New Roman;Times;Serif" w:hAnsi="Times New Roman;Times;Serif"/>
          <w:b w:val="false"/>
          <w:i w:val="false"/>
          <w:caps w:val="false"/>
          <w:smallCaps w:val="false"/>
          <w:sz w:val="20"/>
        </w:rPr>
        <w:t xml:space="preserve">1,171,189 shares of the Company’s common stock, (ii) pre-funded warrants to purchase </w:t>
      </w:r>
      <w:bookmarkStart w:id="542" w:name="xdx_90D_eus-gaap--ClassOfWarrantOrRightO"/>
      <w:bookmarkEnd w:id="542"/>
      <w:r>
        <w:rPr>
          <w:rFonts w:ascii="Times New Roman;Times;Serif" w:hAnsi="Times New Roman;Times;Serif"/>
          <w:b w:val="false"/>
          <w:i w:val="false"/>
          <w:caps w:val="false"/>
          <w:smallCaps w:val="false"/>
          <w:sz w:val="20"/>
        </w:rPr>
        <w:t>278,098 shares of common stock (the “Pre-Funded Warrants”) with an exercise price of $</w:t>
      </w:r>
      <w:bookmarkStart w:id="543" w:name="xdx_90D_eus-gaap--ClassOfWarrantOrRightE"/>
      <w:bookmarkEnd w:id="543"/>
      <w:r>
        <w:rPr>
          <w:rFonts w:ascii="Times New Roman;Times;Serif" w:hAnsi="Times New Roman;Times;Serif"/>
          <w:b w:val="false"/>
          <w:i w:val="false"/>
          <w:caps w:val="false"/>
          <w:smallCaps w:val="false"/>
          <w:sz w:val="20"/>
        </w:rPr>
        <w:t xml:space="preserve">0.0001 per share, and (iii) warrants to purchase </w:t>
      </w:r>
      <w:bookmarkStart w:id="544" w:name="xdx_905_eus-gaap--ClassOfWarrantOrRightO"/>
      <w:bookmarkEnd w:id="544"/>
      <w:r>
        <w:rPr>
          <w:rFonts w:ascii="Times New Roman;Times;Serif" w:hAnsi="Times New Roman;Times;Serif"/>
          <w:b w:val="false"/>
          <w:i w:val="false"/>
          <w:caps w:val="false"/>
          <w:smallCaps w:val="false"/>
          <w:sz w:val="20"/>
        </w:rPr>
        <w:t>1,449,287 shares of common stock (the “Common Warrants”) with an exercise price of $</w:t>
      </w:r>
      <w:bookmarkStart w:id="545" w:name="xdx_90F_eus-gaap--ClassOfWarrantOrRightE"/>
      <w:bookmarkEnd w:id="545"/>
      <w:r>
        <w:rPr>
          <w:rFonts w:ascii="Times New Roman;Times;Serif" w:hAnsi="Times New Roman;Times;Serif"/>
          <w:b w:val="false"/>
          <w:i w:val="false"/>
          <w:caps w:val="false"/>
          <w:smallCaps w:val="false"/>
          <w:sz w:val="20"/>
        </w:rPr>
        <w:t>3.32 per share. The purchase price per share of common stock and the associated Common Warrant was $</w:t>
      </w:r>
      <w:bookmarkStart w:id="546" w:name="xdx_90A_eus-gaap--SharesIssuedPricePerSh"/>
      <w:bookmarkEnd w:id="546"/>
      <w:r>
        <w:rPr>
          <w:rFonts w:ascii="Times New Roman;Times;Serif" w:hAnsi="Times New Roman;Times;Serif"/>
          <w:b w:val="false"/>
          <w:i w:val="false"/>
          <w:caps w:val="false"/>
          <w:smallCaps w:val="false"/>
          <w:sz w:val="20"/>
        </w:rPr>
        <w:t>3.45 and the purchase price per Pre-Funded Warrant and associated Common Warrant was $</w:t>
      </w:r>
      <w:bookmarkStart w:id="547" w:name="xdx_90A_eus-gaap--SharesIssuedPricePerSh"/>
      <w:bookmarkEnd w:id="547"/>
      <w:r>
        <w:rPr>
          <w:rFonts w:ascii="Times New Roman;Times;Serif" w:hAnsi="Times New Roman;Times;Serif"/>
          <w:b w:val="false"/>
          <w:i w:val="false"/>
          <w:caps w:val="false"/>
          <w:smallCaps w:val="false"/>
          <w:sz w:val="20"/>
        </w:rPr>
        <w:t xml:space="preserve">3.4499. The Common Warrants are exercisable immediately and </w:t>
      </w:r>
      <w:bookmarkStart w:id="548" w:name="xdx_905_eus-gaap--ClassOfWarrantOrRightR"/>
      <w:bookmarkEnd w:id="548"/>
      <w:r>
        <w:rPr>
          <w:rFonts w:ascii="Times New Roman;Times;Serif" w:hAnsi="Times New Roman;Times;Serif"/>
          <w:b w:val="false"/>
          <w:i w:val="false"/>
          <w:caps w:val="false"/>
          <w:smallCaps w:val="false"/>
          <w:sz w:val="20"/>
        </w:rPr>
        <w:t>expire five-and one-half years from issuance. The Pre-Funded Warrants are exercisable immediately and terminate when exercised in full. The Company filed a Registration Statement on Form S-3 registering the resale of the above-mentioned Securities, which was declared effective by the SEC on March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April Registered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5, 2024, the Company closed a public offering of </w:t>
      </w:r>
      <w:bookmarkStart w:id="549" w:name="xdx_905_eus-gaap--StockIssuedDuringPerio"/>
      <w:bookmarkEnd w:id="549"/>
      <w:r>
        <w:rPr>
          <w:rFonts w:ascii="Times New Roman;Times;Serif" w:hAnsi="Times New Roman;Times;Serif"/>
          <w:b w:val="false"/>
          <w:i w:val="false"/>
          <w:caps w:val="false"/>
          <w:smallCaps w:val="false"/>
          <w:sz w:val="20"/>
        </w:rPr>
        <w:t>358,000 shares of the Company’s common stock, (the “Offering”). Each Share was sold at a public offering price of $</w:t>
      </w:r>
      <w:bookmarkStart w:id="550" w:name="xdx_90B_eus-gaap--SharePrice_iI_c2024040"/>
      <w:bookmarkEnd w:id="550"/>
      <w:r>
        <w:rPr>
          <w:rFonts w:ascii="Times New Roman;Times;Serif" w:hAnsi="Times New Roman;Times;Serif"/>
          <w:b w:val="false"/>
          <w:i w:val="false"/>
          <w:caps w:val="false"/>
          <w:smallCaps w:val="false"/>
          <w:sz w:val="20"/>
        </w:rPr>
        <w:t>4.20. The aggregate proceeds to the Company from the Offering were approximately $</w:t>
      </w:r>
      <w:bookmarkStart w:id="551" w:name="xdx_90E_eus-gaap--ProceedsFromIssuanceOf"/>
      <w:bookmarkEnd w:id="551"/>
      <w:r>
        <w:rPr>
          <w:rFonts w:ascii="Times New Roman;Times;Serif" w:hAnsi="Times New Roman;Times;Serif"/>
          <w:b w:val="false"/>
          <w:i w:val="false"/>
          <w:caps w:val="false"/>
          <w:smallCaps w:val="false"/>
          <w:sz w:val="20"/>
        </w:rPr>
        <w:t>1.5 million before deducting placement agent fees and other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March Registered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2024, the Company closed a public offering of </w:t>
      </w:r>
      <w:bookmarkStart w:id="552" w:name="xdx_904_eus-gaap--StockIssuedDuringPerio"/>
      <w:bookmarkEnd w:id="552"/>
      <w:r>
        <w:rPr>
          <w:rFonts w:ascii="Times New Roman;Times;Serif" w:hAnsi="Times New Roman;Times;Serif"/>
          <w:b w:val="false"/>
          <w:i w:val="false"/>
          <w:caps w:val="false"/>
          <w:smallCaps w:val="false"/>
          <w:sz w:val="20"/>
        </w:rPr>
        <w:t>142,000 shares of the Company’s common stock, (the “Offering”). Each Share was sold at a public offering price of $</w:t>
      </w:r>
      <w:bookmarkStart w:id="553" w:name="xdx_90D_eus-gaap--SharePrice_iI_c2024032"/>
      <w:bookmarkEnd w:id="553"/>
      <w:r>
        <w:rPr>
          <w:rFonts w:ascii="Times New Roman;Times;Serif" w:hAnsi="Times New Roman;Times;Serif"/>
          <w:b w:val="false"/>
          <w:i w:val="false"/>
          <w:caps w:val="false"/>
          <w:smallCaps w:val="false"/>
          <w:sz w:val="20"/>
        </w:rPr>
        <w:t>9.40. The aggregate proceeds to the Company from the Offering were approximately $</w:t>
      </w:r>
      <w:bookmarkStart w:id="554" w:name="xdx_90A_eus-gaap--ProceedsFromIssuanceOf"/>
      <w:bookmarkEnd w:id="554"/>
      <w:r>
        <w:rPr>
          <w:rFonts w:ascii="Times New Roman;Times;Serif" w:hAnsi="Times New Roman;Times;Serif"/>
          <w:b w:val="false"/>
          <w:i w:val="false"/>
          <w:caps w:val="false"/>
          <w:smallCaps w:val="false"/>
          <w:sz w:val="20"/>
        </w:rPr>
        <w:t>1.3 million before deducting placement agent fees and other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February Registered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2024, the Company completed a public offering of </w:t>
      </w:r>
      <w:bookmarkStart w:id="555" w:name="xdx_907_eus-gaap--StockIssuedDuringPerio"/>
      <w:bookmarkEnd w:id="555"/>
      <w:r>
        <w:rPr>
          <w:rFonts w:ascii="Times New Roman;Times;Serif" w:hAnsi="Times New Roman;Times;Serif"/>
          <w:b w:val="false"/>
          <w:i w:val="false"/>
          <w:caps w:val="false"/>
          <w:smallCaps w:val="false"/>
          <w:sz w:val="20"/>
        </w:rPr>
        <w:t>80,000 units, resulting in gross proceeds of approximately $</w:t>
      </w:r>
      <w:bookmarkStart w:id="556" w:name="xdx_90B_eus-gaap--StockIssuedDuringPerio"/>
      <w:bookmarkEnd w:id="556"/>
      <w:r>
        <w:rPr>
          <w:rFonts w:ascii="Times New Roman;Times;Serif" w:hAnsi="Times New Roman;Times;Serif"/>
          <w:b w:val="false"/>
          <w:i w:val="false"/>
          <w:caps w:val="false"/>
          <w:smallCaps w:val="false"/>
          <w:sz w:val="20"/>
        </w:rPr>
        <w:t>4.0 million before deducting placement agent fees and offering expenses payable by the Company. Each unit consisted of either (i) one share of the Company’s common stock, par value $</w:t>
      </w:r>
      <w:bookmarkStart w:id="557" w:name="xdx_904_eus-gaap--CommonStockParOrStated"/>
      <w:bookmarkEnd w:id="557"/>
      <w:r>
        <w:rPr>
          <w:rFonts w:ascii="Times New Roman;Times;Serif" w:hAnsi="Times New Roman;Times;Serif"/>
          <w:b w:val="false"/>
          <w:i w:val="false"/>
          <w:caps w:val="false"/>
          <w:smallCaps w:val="false"/>
          <w:sz w:val="20"/>
        </w:rPr>
        <w:t xml:space="preserve">0.01 per share (“Common Stock”), or (ii) one pre-funded warrant to purchase one share of Common Stock, together with one Class E warrant and one Class F warrant to purchase additional shares of Common Stock. The offering included </w:t>
      </w:r>
      <w:bookmarkStart w:id="558" w:name="xdx_907_eus-gaap--StockIssuedDuringPerio"/>
      <w:bookmarkEnd w:id="558"/>
      <w:r>
        <w:rPr>
          <w:rFonts w:ascii="Times New Roman;Times;Serif" w:hAnsi="Times New Roman;Times;Serif"/>
          <w:b w:val="false"/>
          <w:i w:val="false"/>
          <w:caps w:val="false"/>
          <w:smallCaps w:val="false"/>
          <w:sz w:val="20"/>
        </w:rPr>
        <w:t xml:space="preserve">17,000 units containing shares of Common Stock (the “Common Units”) and </w:t>
      </w:r>
      <w:bookmarkStart w:id="559" w:name="xdx_900_eus-gaap--StockIssuedDuringPerio"/>
      <w:bookmarkEnd w:id="559"/>
      <w:r>
        <w:rPr>
          <w:rFonts w:ascii="Times New Roman;Times;Serif" w:hAnsi="Times New Roman;Times;Serif"/>
          <w:b w:val="false"/>
          <w:i w:val="false"/>
          <w:caps w:val="false"/>
          <w:smallCaps w:val="false"/>
          <w:sz w:val="20"/>
        </w:rPr>
        <w:t>63,000 units containing pre-funded warrants (the “Pre-Funded Warrant Units”). The Common Units were sold at a public offering price of $</w:t>
      </w:r>
      <w:bookmarkStart w:id="560" w:name="xdx_905_eus-gaap--SaleOfStockPricePerSha"/>
      <w:bookmarkEnd w:id="560"/>
      <w:r>
        <w:rPr>
          <w:rFonts w:ascii="Times New Roman;Times;Serif" w:hAnsi="Times New Roman;Times;Serif"/>
          <w:b w:val="false"/>
          <w:i w:val="false"/>
          <w:caps w:val="false"/>
          <w:smallCaps w:val="false"/>
          <w:sz w:val="20"/>
        </w:rPr>
        <w:t>50.00 per unit, and the Pre-Funded Warrant Units were sold at a public offering price of $</w:t>
      </w:r>
      <w:bookmarkStart w:id="561" w:name="xdx_909_eus-gaap--SaleOfStockPricePerSha"/>
      <w:bookmarkEnd w:id="561"/>
      <w:r>
        <w:rPr>
          <w:rFonts w:ascii="Times New Roman;Times;Serif" w:hAnsi="Times New Roman;Times;Serif"/>
          <w:b w:val="false"/>
          <w:i w:val="false"/>
          <w:caps w:val="false"/>
          <w:smallCaps w:val="false"/>
          <w:sz w:val="20"/>
        </w:rPr>
        <w:t>49.98 per unit. Each pre-funded warrant is exercisable for one share of Common Stock at an exercise price of $</w:t>
      </w:r>
      <w:bookmarkStart w:id="562" w:name="xdx_907_eus-gaap--SharesIssuedPricePerSh"/>
      <w:bookmarkEnd w:id="562"/>
      <w:r>
        <w:rPr>
          <w:rFonts w:ascii="Times New Roman;Times;Serif" w:hAnsi="Times New Roman;Times;Serif"/>
          <w:b w:val="false"/>
          <w:i w:val="false"/>
          <w:caps w:val="false"/>
          <w:smallCaps w:val="false"/>
          <w:sz w:val="20"/>
        </w:rPr>
        <w:t xml:space="preserve">0.0001 per share and is exercisable immediately, subject to a beneficial ownership limitation of </w:t>
      </w:r>
      <w:bookmarkStart w:id="563" w:name="xdx_908_ecustom--BeneficialOwnershipLimi"/>
      <w:bookmarkEnd w:id="563"/>
      <w:r>
        <w:rPr>
          <w:rFonts w:ascii="Times New Roman;Times;Serif" w:hAnsi="Times New Roman;Times;Serif"/>
          <w:b w:val="false"/>
          <w:i w:val="false"/>
          <w:caps w:val="false"/>
          <w:smallCaps w:val="false"/>
          <w:sz w:val="20"/>
        </w:rPr>
        <w:t>4.99% or 9.99%. The Class E and Class F warrants are also exercisable immediately, subject to the same ownership limitation, at an exercise price of $</w:t>
      </w:r>
      <w:bookmarkStart w:id="564" w:name="xdx_905_eus-gaap--ClassOfWarrantOrRightE"/>
      <w:bookmarkStart w:id="565" w:name="xdx_90B_eus-gaap--ClassOfWarrantOrRightE"/>
      <w:bookmarkEnd w:id="564"/>
      <w:bookmarkEnd w:id="565"/>
      <w:r>
        <w:rPr>
          <w:rFonts w:ascii="Times New Roman;Times;Serif" w:hAnsi="Times New Roman;Times;Serif"/>
          <w:b w:val="false"/>
          <w:i w:val="false"/>
          <w:caps w:val="false"/>
          <w:smallCaps w:val="false"/>
          <w:sz w:val="20"/>
        </w:rPr>
        <w:t xml:space="preserve">50.00 per share. The Class E warrants expire </w:t>
      </w:r>
      <w:bookmarkStart w:id="566" w:name="xdx_90E_eus-gaap--WarrantsAndRightsOutst"/>
      <w:bookmarkEnd w:id="566"/>
      <w:r>
        <w:rPr>
          <w:rFonts w:ascii="Times New Roman;Times;Serif" w:hAnsi="Times New Roman;Times;Serif"/>
          <w:b w:val="false"/>
          <w:i w:val="false"/>
          <w:caps w:val="false"/>
          <w:smallCaps w:val="false"/>
          <w:sz w:val="20"/>
        </w:rPr>
        <w:t xml:space="preserve">five years after issuance, and the Class F warrants expire </w:t>
      </w:r>
      <w:bookmarkStart w:id="567" w:name="xdx_90F_eus-gaap--WarrantsAndRightsOutst"/>
      <w:bookmarkEnd w:id="567"/>
      <w:r>
        <w:rPr>
          <w:rFonts w:ascii="Times New Roman;Times;Serif" w:hAnsi="Times New Roman;Times;Serif"/>
          <w:b w:val="false"/>
          <w:i w:val="false"/>
          <w:caps w:val="false"/>
          <w:smallCaps w:val="false"/>
          <w:sz w:val="20"/>
        </w:rPr>
        <w:t xml:space="preserve">18 months after issuance. Maxim Group LLC acted as the sole placement agent for the offering. Pursuant to the placement agency agreement, the Company paid a cash placement fee equal to </w:t>
      </w:r>
      <w:bookmarkStart w:id="568" w:name="xdx_906_ecustom--PercentageOfCashPlaceme"/>
      <w:bookmarkEnd w:id="568"/>
      <w:r>
        <w:rPr>
          <w:rFonts w:ascii="Times New Roman;Times;Serif" w:hAnsi="Times New Roman;Times;Serif"/>
          <w:b w:val="false"/>
          <w:i w:val="false"/>
          <w:caps w:val="false"/>
          <w:smallCaps w:val="false"/>
          <w:sz w:val="20"/>
        </w:rPr>
        <w:t>7.0% of the gross proceeds, plus reimbursement of expenses and legal fees up to $</w:t>
      </w:r>
      <w:bookmarkStart w:id="569" w:name="xdx_903_ecustom--ReimbursementOfExpenses"/>
      <w:bookmarkEnd w:id="569"/>
      <w:r>
        <w:rPr>
          <w:rFonts w:ascii="Times New Roman;Times;Serif" w:hAnsi="Times New Roman;Times;Serif"/>
          <w:b w:val="false"/>
          <w:i w:val="false"/>
          <w:caps w:val="false"/>
          <w:smallCaps w:val="false"/>
          <w:sz w:val="20"/>
        </w:rPr>
        <w:t xml:space="preserve">100,000. The Company also issued to the placement agent up to </w:t>
      </w:r>
      <w:bookmarkStart w:id="570" w:name="xdx_904_eus-gaap--ClassOfWarrantOrRightO"/>
      <w:bookmarkEnd w:id="570"/>
      <w:r>
        <w:rPr>
          <w:rFonts w:ascii="Times New Roman;Times;Serif" w:hAnsi="Times New Roman;Times;Serif"/>
          <w:b w:val="false"/>
          <w:i w:val="false"/>
          <w:caps w:val="false"/>
          <w:smallCaps w:val="false"/>
          <w:sz w:val="20"/>
        </w:rPr>
        <w:t>3,200 warrants to purchase shares of Common Stock at an exercise price of $</w:t>
      </w:r>
      <w:bookmarkStart w:id="571" w:name="xdx_909_eus-gaap--ClassOfWarrantOrRightE"/>
      <w:bookmarkEnd w:id="571"/>
      <w:r>
        <w:rPr>
          <w:rFonts w:ascii="Times New Roman;Times;Serif" w:hAnsi="Times New Roman;Times;Serif"/>
          <w:b w:val="false"/>
          <w:i w:val="false"/>
          <w:caps w:val="false"/>
          <w:smallCaps w:val="false"/>
          <w:sz w:val="20"/>
        </w:rPr>
        <w:t xml:space="preserve">55.00 per share. These placement agent warrants become exercisable on July 31, 2024, and expire </w:t>
      </w:r>
      <w:bookmarkStart w:id="572" w:name="xdx_90E_eus-gaap--WarrantsAndRightsOutst"/>
      <w:bookmarkEnd w:id="572"/>
      <w:r>
        <w:rPr>
          <w:rFonts w:ascii="Times New Roman;Times;Serif" w:hAnsi="Times New Roman;Times;Serif"/>
          <w:b w:val="false"/>
          <w:i w:val="false"/>
          <w:caps w:val="false"/>
          <w:smallCaps w:val="false"/>
          <w:sz w:val="20"/>
        </w:rPr>
        <w:t>five years after the commencement of sales in the offering. Proceeds from the offering were used for general corporate purposes, including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Equity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2021, the Company entered into an Equity Distribution Agreement (the “2021 ATM Agreement”) with Maxim Group LLC (the “Agent”) as sales agent. The agreement permitted the Company to offer and sell shares of its common stock, par value $</w:t>
      </w:r>
      <w:bookmarkStart w:id="573" w:name="xdx_90A_eus-gaap--CommonStockParOrStated"/>
      <w:bookmarkEnd w:id="573"/>
      <w:r>
        <w:rPr>
          <w:rFonts w:ascii="Times New Roman;Times;Serif" w:hAnsi="Times New Roman;Times;Serif"/>
          <w:b w:val="false"/>
          <w:i w:val="false"/>
          <w:caps w:val="false"/>
          <w:smallCaps w:val="false"/>
          <w:sz w:val="20"/>
        </w:rPr>
        <w:t>0.01 per share (“Common Stock”), from time to time in an “at-the-market” offering for an aggregate offering amount of up to $</w:t>
      </w:r>
      <w:bookmarkStart w:id="574" w:name="xdx_901_eus-gaap--SaleOfStockConsiderati"/>
      <w:bookmarkEnd w:id="574"/>
      <w:r>
        <w:rPr>
          <w:rFonts w:ascii="Times New Roman;Times;Serif" w:hAnsi="Times New Roman;Times;Serif"/>
          <w:b w:val="false"/>
          <w:i w:val="false"/>
          <w:caps w:val="false"/>
          <w:smallCaps w:val="false"/>
          <w:sz w:val="20"/>
        </w:rPr>
        <w:t>15.0 million, as amended on January 10, 2023 and October 12, 2023. On March 22, 2024, the Company suspended sales under the 2021 ATM Agreement and terminated the continuous offering. On July 11, 2024, the Company filed a Prospectus Supplement with the Securities and Exchange Commission adjusting the remaining capacity under the 2021 ATM Agreement to approximately $</w:t>
      </w:r>
      <w:bookmarkStart w:id="575" w:name="xdx_90B_eus-gaap--ProceedsFromSaleOfAvai"/>
      <w:bookmarkEnd w:id="575"/>
      <w:r>
        <w:rPr>
          <w:rFonts w:ascii="Times New Roman;Times;Serif" w:hAnsi="Times New Roman;Times;Serif"/>
          <w:b w:val="false"/>
          <w:i w:val="false"/>
          <w:caps w:val="false"/>
          <w:smallCaps w:val="false"/>
          <w:sz w:val="20"/>
        </w:rPr>
        <w:t xml:space="preserve">3.1 million and subsequently resumed sales of Common Stock under the program. During the year ended December 31, 2024, the Company sold an aggregate of </w:t>
      </w:r>
      <w:bookmarkStart w:id="576" w:name="xdx_90D_eus-gaap--SaleOfStockNumberOfSha"/>
      <w:bookmarkEnd w:id="576"/>
      <w:r>
        <w:rPr>
          <w:rFonts w:ascii="Times New Roman;Times;Serif" w:hAnsi="Times New Roman;Times;Serif"/>
          <w:b w:val="false"/>
          <w:i w:val="false"/>
          <w:caps w:val="false"/>
          <w:smallCaps w:val="false"/>
          <w:sz w:val="20"/>
        </w:rPr>
        <w:t>602,357 shares of Common Stock pursuant to the 2021 ATM Agreement, resulting in gross proceeds of approximately $</w:t>
      </w:r>
      <w:bookmarkStart w:id="577" w:name="xdx_90B_eus-gaap--ProceedsFromIssuanceOf"/>
      <w:bookmarkEnd w:id="577"/>
      <w:r>
        <w:rPr>
          <w:rFonts w:ascii="Times New Roman;Times;Serif" w:hAnsi="Times New Roman;Times;Serif"/>
          <w:b w:val="false"/>
          <w:i w:val="false"/>
          <w:caps w:val="false"/>
          <w:smallCaps w:val="false"/>
          <w:sz w:val="20"/>
        </w:rPr>
        <w:t>3.7 million before deducting sales commissions and offering expenses. The 2021 ATM Agreement terminated in accordance with its terms on February 25,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8" w:name="xdx_80F_eus-gaap--DisclosureOfCompensati"/>
      <w:bookmarkEnd w:id="578"/>
      <w:r>
        <w:rPr>
          <w:rFonts w:ascii="Times New Roman;Times;Serif" w:hAnsi="Times New Roman;Times;Serif"/>
          <w:b/>
          <w:i w:val="false"/>
          <w:caps w:val="false"/>
          <w:smallCaps w:val="false"/>
          <w:sz w:val="20"/>
        </w:rPr>
        <w:t xml:space="preserve">10. </w:t>
      </w:r>
      <w:bookmarkStart w:id="579" w:name="xdx_820_zH9b8q6XKGW5"/>
      <w:bookmarkEnd w:id="579"/>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0" w:name="xdx_89A_eus-gaap--ScheduleOfShareBasedCo"/>
      <w:bookmarkEnd w:id="580"/>
      <w:r>
        <w:rPr>
          <w:rFonts w:ascii="Times New Roman;Times;Serif" w:hAnsi="Times New Roman;Times;Serif"/>
          <w:b w:val="false"/>
          <w:i w:val="false"/>
          <w:caps w:val="false"/>
          <w:smallCaps w:val="false"/>
          <w:sz w:val="20"/>
        </w:rPr>
        <w:t>A summary of the Company’s outstanding stock option activity for the nine months ended September 30, 2025, and 2024 is as follows:</w:t>
      </w:r>
    </w:p>
    <w:p>
      <w:pPr>
        <w:pStyle w:val="TextBody"/>
        <w:bidi w:val="0"/>
        <w:spacing w:before="0" w:after="0"/>
        <w:ind w:left="0" w:right="0" w:hanging="0"/>
        <w:jc w:val="both"/>
        <w:rPr>
          <w:caps w:val="false"/>
          <w:smallCaps w:val="false"/>
        </w:rPr>
      </w:pPr>
      <w:r>
        <w:rPr>
          <w:caps w:val="false"/>
          <w:smallCaps w:val="false"/>
        </w:rPr>
        <w:t> </w:t>
      </w:r>
      <w:bookmarkStart w:id="581" w:name="xdx_8B5_zqC0cKtauG57"/>
      <w:bookmarkEnd w:id="581"/>
      <w:r>
        <w:rPr>
          <w:rFonts w:ascii="Times New Roman;Times;Serif" w:hAnsi="Times New Roman;Times;Serif"/>
          <w:b w:val="false"/>
          <w:i w:val="false"/>
          <w:caps w:val="false"/>
          <w:smallCaps w:val="false"/>
          <w:sz w:val="20"/>
        </w:rPr>
        <w:t>Schedule of Stock Option Activity</w:t>
      </w:r>
    </w:p>
    <w:tbl>
      <w:tblPr>
        <w:tblW w:w="9428" w:type="dxa"/>
        <w:jc w:val="left"/>
        <w:tblInd w:w="0" w:type="dxa"/>
        <w:tblLayout w:type="fixed"/>
        <w:tblCellMar>
          <w:top w:w="0" w:type="dxa"/>
          <w:left w:w="0" w:type="dxa"/>
          <w:bottom w:w="0" w:type="dxa"/>
          <w:right w:w="0" w:type="dxa"/>
        </w:tblCellMar>
      </w:tblPr>
      <w:tblGrid>
        <w:gridCol w:w="4865"/>
        <w:gridCol w:w="60"/>
        <w:gridCol w:w="60"/>
        <w:gridCol w:w="800"/>
        <w:gridCol w:w="95"/>
        <w:gridCol w:w="60"/>
        <w:gridCol w:w="213"/>
        <w:gridCol w:w="1038"/>
        <w:gridCol w:w="91"/>
        <w:gridCol w:w="91"/>
        <w:gridCol w:w="164"/>
        <w:gridCol w:w="876"/>
        <w:gridCol w:w="60"/>
        <w:gridCol w:w="60"/>
        <w:gridCol w:w="140"/>
        <w:gridCol w:w="680"/>
        <w:gridCol w:w="75"/>
      </w:tblGrid>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2" w:name="xdx_98E_eus-gaap--ShareBasedCompensation"/>
            <w:bookmarkEnd w:id="582"/>
          </w:p>
        </w:tc>
        <w:tc>
          <w:tcPr>
            <w:tcW w:w="800"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bookmarkStart w:id="583" w:name="xdx_983_eus-gaap--ShareBasedCompensation"/>
            <w:bookmarkEnd w:id="583"/>
          </w:p>
        </w:tc>
        <w:tc>
          <w:tcPr>
            <w:tcW w:w="1038" w:type="dxa"/>
            <w:tcBorders/>
            <w:shd w:fill="CCEEFF" w:val="clear"/>
            <w:vAlign w:val="center"/>
          </w:tcPr>
          <w:p>
            <w:pPr>
              <w:pStyle w:val="TableContents"/>
              <w:bidi w:val="0"/>
              <w:spacing w:before="0" w:after="283"/>
              <w:jc w:val="right"/>
              <w:rPr/>
            </w:pPr>
            <w:r>
              <w:rPr/>
              <w:t>18,872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584" w:name="xdx_905_eus-gaap--SharebasedCompensation"/>
            <w:bookmarkEnd w:id="584"/>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85" w:name="xdx_98A_eus-gaap--ShareBasedCompensation"/>
            <w:bookmarkEnd w:id="585"/>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86" w:name="xdx_984_eus-gaap--ShareBasedCompensation"/>
            <w:bookmarkEnd w:id="586"/>
          </w:p>
        </w:tc>
        <w:tc>
          <w:tcPr>
            <w:tcW w:w="800" w:type="dxa"/>
            <w:tcBorders/>
            <w:shd w:fill="FFFFFF" w:val="clear"/>
            <w:vAlign w:val="center"/>
          </w:tcPr>
          <w:p>
            <w:pPr>
              <w:pStyle w:val="TableContents"/>
              <w:bidi w:val="0"/>
              <w:spacing w:before="0" w:after="283"/>
              <w:jc w:val="right"/>
              <w:rPr/>
            </w:pPr>
            <w:r>
              <w:rPr/>
              <w:t>170,000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bookmarkStart w:id="587" w:name="xdx_98C_eus-gaap--ShareBasedCompensation"/>
            <w:bookmarkEnd w:id="587"/>
          </w:p>
        </w:tc>
        <w:tc>
          <w:tcPr>
            <w:tcW w:w="1038" w:type="dxa"/>
            <w:tcBorders/>
            <w:shd w:fill="FFFFFF" w:val="clear"/>
            <w:vAlign w:val="center"/>
          </w:tcPr>
          <w:p>
            <w:pPr>
              <w:pStyle w:val="TableContents"/>
              <w:bidi w:val="0"/>
              <w:spacing w:before="0" w:after="283"/>
              <w:jc w:val="right"/>
              <w:rPr/>
            </w:pPr>
            <w:r>
              <w:rPr/>
              <w:t>3.65</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bookmarkStart w:id="588" w:name="xdx_902_ecustom--SharebasedCompensationA"/>
            <w:bookmarkEnd w:id="588"/>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9" w:name="xdx_985_eus-gaap--StockIssuedDuringPerio"/>
            <w:bookmarkEnd w:id="589"/>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bookmarkStart w:id="590" w:name="xdx_982_eus-gaap--ShareBasedCompensation"/>
            <w:bookmarkEnd w:id="590"/>
          </w:p>
        </w:tc>
        <w:tc>
          <w:tcPr>
            <w:tcW w:w="1038"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1" w:name="xdx_98C_eus-gaap--ShareBasedCompensation"/>
            <w:bookmarkEnd w:id="591"/>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bookmarkStart w:id="592" w:name="xdx_98F_eus-gaap--ShareBasedCompensation"/>
            <w:bookmarkEnd w:id="592"/>
          </w:p>
        </w:tc>
        <w:tc>
          <w:tcPr>
            <w:tcW w:w="1038"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3" w:name="xdx_981_eus-gaap--ShareBasedCompensation"/>
            <w:bookmarkEnd w:id="593"/>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4" w:name="xdx_983_eus-gaap--ShareBasedCompensation"/>
            <w:bookmarkEnd w:id="594"/>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19,267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95" w:name="xdx_98F_eus-gaap--ShareBasedCompensation"/>
            <w:bookmarkEnd w:id="59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170,032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6" w:name="xdx_983_eus-gaap--ShareBasedCompensation"/>
            <w:bookmarkEnd w:id="596"/>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pPr>
            <w:r>
              <w:rPr/>
              <w:t>8.70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97" w:name="xdx_905_eus-gaap--SharebasedCompensation"/>
            <w:bookmarkEnd w:id="597"/>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8" w:name="xdx_984_eus-gaap--ShareBasedCompensation"/>
            <w:bookmarkEnd w:id="598"/>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98,300</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9" w:name="xdx_98C_eus-gaap--ShareBasedCompensation"/>
            <w:bookmarkEnd w:id="599"/>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170,032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0" w:name="xdx_98A_eus-gaap--ShareBasedCompensation"/>
            <w:bookmarkEnd w:id="600"/>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pPr>
            <w:r>
              <w:rPr/>
              <w:t>8.70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01" w:name="xdx_906_eus-gaap--SharebasedCompensation"/>
            <w:bookmarkEnd w:id="601"/>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2" w:name="xdx_98E_eus-gaap--SharebasedCompensation"/>
            <w:bookmarkEnd w:id="602"/>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98,300</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Vested and expected to vest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03" w:name="xdx_98A_eus-gaap--ShareBasedCompensation"/>
            <w:bookmarkEnd w:id="603"/>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170,032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04" w:name="xdx_988_eus-gaap--ShareBasedCompensation"/>
            <w:bookmarkEnd w:id="604"/>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pPr>
            <w:r>
              <w:rPr/>
              <w:t>8.70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05" w:name="xdx_903_eus-gaap--SharebasedCompensation"/>
            <w:bookmarkEnd w:id="605"/>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06" w:name="xdx_987_eus-gaap--ShareBasedCompensation"/>
            <w:bookmarkEnd w:id="606"/>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98,300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472" w:type="dxa"/>
        <w:jc w:val="left"/>
        <w:tblInd w:w="0" w:type="dxa"/>
        <w:tblLayout w:type="fixed"/>
        <w:tblCellMar>
          <w:top w:w="0" w:type="dxa"/>
          <w:left w:w="0" w:type="dxa"/>
          <w:bottom w:w="0" w:type="dxa"/>
          <w:right w:w="0" w:type="dxa"/>
        </w:tblCellMar>
      </w:tblPr>
      <w:tblGrid>
        <w:gridCol w:w="4865"/>
        <w:gridCol w:w="60"/>
        <w:gridCol w:w="123"/>
        <w:gridCol w:w="692"/>
        <w:gridCol w:w="95"/>
        <w:gridCol w:w="60"/>
        <w:gridCol w:w="151"/>
        <w:gridCol w:w="1321"/>
        <w:gridCol w:w="65"/>
        <w:gridCol w:w="65"/>
        <w:gridCol w:w="164"/>
        <w:gridCol w:w="876"/>
        <w:gridCol w:w="60"/>
        <w:gridCol w:w="60"/>
        <w:gridCol w:w="440"/>
        <w:gridCol w:w="300"/>
        <w:gridCol w:w="75"/>
      </w:tblGrid>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As of December 31, 2023</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607" w:name="xdx_982_eus-gaap--ShareBasedCompensation"/>
            <w:bookmarkEnd w:id="607"/>
          </w:p>
        </w:tc>
        <w:tc>
          <w:tcPr>
            <w:tcW w:w="692"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bookmarkStart w:id="608" w:name="xdx_98F_eus-gaap--ShareBasedCompensation"/>
            <w:bookmarkEnd w:id="608"/>
          </w:p>
        </w:tc>
        <w:tc>
          <w:tcPr>
            <w:tcW w:w="1321" w:type="dxa"/>
            <w:tcBorders/>
            <w:shd w:fill="CCEEFF" w:val="clear"/>
            <w:vAlign w:val="center"/>
          </w:tcPr>
          <w:p>
            <w:pPr>
              <w:pStyle w:val="TableContents"/>
              <w:bidi w:val="0"/>
              <w:spacing w:before="0" w:after="283"/>
              <w:jc w:val="right"/>
              <w:rPr/>
            </w:pPr>
            <w:r>
              <w:rPr/>
              <w:t>21,954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609" w:name="xdx_90A_eus-gaap--SharebasedCompensation"/>
            <w:bookmarkEnd w:id="609"/>
            <w:r>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w:t>
            </w:r>
            <w:bookmarkStart w:id="610" w:name="xdx_98D_eus-gaap--ShareBasedCompensation"/>
            <w:bookmarkEnd w:id="610"/>
          </w:p>
        </w:tc>
        <w:tc>
          <w:tcPr>
            <w:tcW w:w="3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611" w:name="xdx_98A_eus-gaap--ShareBasedCompensation"/>
            <w:bookmarkEnd w:id="611"/>
          </w:p>
        </w:tc>
        <w:tc>
          <w:tcPr>
            <w:tcW w:w="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612" w:name="xdx_985_eus-gaap--ShareBasedCompensation"/>
            <w:bookmarkEnd w:id="612"/>
          </w:p>
        </w:tc>
        <w:tc>
          <w:tcPr>
            <w:tcW w:w="1321"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613" w:name="xdx_982_eus-gaap--StockIssuedDuringPerio"/>
            <w:bookmarkEnd w:id="613"/>
          </w:p>
        </w:tc>
        <w:tc>
          <w:tcPr>
            <w:tcW w:w="6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bookmarkStart w:id="614" w:name="xdx_982_eus-gaap--ShareBasedCompensation"/>
            <w:bookmarkEnd w:id="614"/>
          </w:p>
        </w:tc>
        <w:tc>
          <w:tcPr>
            <w:tcW w:w="1321"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615" w:name="xdx_986_eus-gaap--ShareBasedCompensation"/>
            <w:bookmarkEnd w:id="615"/>
          </w:p>
        </w:tc>
        <w:tc>
          <w:tcPr>
            <w:tcW w:w="692"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616" w:name="xdx_98B_eus-gaap--ShareBasedCompensation"/>
            <w:bookmarkEnd w:id="616"/>
          </w:p>
        </w:tc>
        <w:tc>
          <w:tcPr>
            <w:tcW w:w="1321" w:type="dxa"/>
            <w:tcBorders/>
            <w:shd w:fill="FFFFFF" w:val="clear"/>
            <w:vAlign w:val="center"/>
          </w:tcPr>
          <w:p>
            <w:pPr>
              <w:pStyle w:val="TableContents"/>
              <w:bidi w:val="0"/>
              <w:spacing w:before="0" w:after="283"/>
              <w:jc w:val="right"/>
              <w:rPr/>
            </w:pPr>
            <w:r>
              <w:rPr/>
              <w:t>26,749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7" w:name="xdx_98B_eus-gaap--ShareBasedCompensation"/>
            <w:bookmarkEnd w:id="617"/>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8" w:name="xdx_980_eus-gaap--ShareBasedCompensation"/>
            <w:bookmarkEnd w:id="618"/>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891,768,343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As of September 30, 2024</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19" w:name="xdx_984_eus-gaap--ShareBasedCompensation"/>
            <w:bookmarkEnd w:id="619"/>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0" w:name="xdx_98D_eus-gaap--ShareBasedCompensation"/>
            <w:bookmarkEnd w:id="620"/>
          </w:p>
        </w:tc>
        <w:tc>
          <w:tcPr>
            <w:tcW w:w="1321" w:type="dxa"/>
            <w:tcBorders>
              <w:bottom w:val="double" w:sz="6" w:space="0" w:color="000000"/>
            </w:tcBorders>
            <w:shd w:fill="FFFFFF" w:val="clear"/>
            <w:tcMar>
              <w:bottom w:w="28" w:type="dxa"/>
            </w:tcMar>
            <w:vAlign w:val="center"/>
          </w:tcPr>
          <w:p>
            <w:pPr>
              <w:pStyle w:val="TableContents"/>
              <w:bidi w:val="0"/>
              <w:spacing w:before="0" w:after="283"/>
              <w:jc w:val="right"/>
              <w:rPr/>
            </w:pPr>
            <w:r>
              <w:rPr/>
              <w:t>19,969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21" w:name="xdx_90B_eus-gaap--SharebasedCompensation"/>
            <w:bookmarkEnd w:id="621"/>
            <w:r>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2" w:name="xdx_981_eus-gaap--ShareBasedCompensation"/>
            <w:bookmarkEnd w:id="622"/>
          </w:p>
        </w:tc>
        <w:tc>
          <w:tcPr>
            <w:tcW w:w="3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Exercisable at September 30, 2024</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3" w:name="xdx_98D_eus-gaap--ShareBasedCompensation"/>
            <w:bookmarkEnd w:id="623"/>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24" w:name="xdx_985_eus-gaap--ShareBasedCompensation"/>
            <w:bookmarkEnd w:id="624"/>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26,105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25" w:name="xdx_905_eus-gaap--SharebasedCompensation"/>
            <w:bookmarkEnd w:id="625"/>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26" w:name="xdx_98F_eus-gaap--SharebasedCompensation"/>
            <w:bookmarkEnd w:id="626"/>
          </w:p>
        </w:tc>
        <w:tc>
          <w:tcPr>
            <w:tcW w:w="3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Vested and expected to vest at September 30, 2024</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27" w:name="xdx_98D_eus-gaap--ShareBasedCompensation"/>
            <w:bookmarkEnd w:id="627"/>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8" w:name="xdx_989_eus-gaap--ShareBasedCompensation"/>
            <w:bookmarkEnd w:id="628"/>
          </w:p>
        </w:tc>
        <w:tc>
          <w:tcPr>
            <w:tcW w:w="1321" w:type="dxa"/>
            <w:tcBorders>
              <w:bottom w:val="double" w:sz="6" w:space="0" w:color="000000"/>
            </w:tcBorders>
            <w:shd w:fill="FFFFFF" w:val="clear"/>
            <w:tcMar>
              <w:bottom w:w="28" w:type="dxa"/>
            </w:tcMar>
            <w:vAlign w:val="center"/>
          </w:tcPr>
          <w:p>
            <w:pPr>
              <w:pStyle w:val="TableContents"/>
              <w:bidi w:val="0"/>
              <w:spacing w:before="0" w:after="283"/>
              <w:jc w:val="right"/>
              <w:rPr/>
            </w:pPr>
            <w:r>
              <w:rPr/>
              <w:t>29,359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29" w:name="xdx_90F_eus-gaap--SharebasedCompensation"/>
            <w:bookmarkEnd w:id="629"/>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30" w:name="xdx_987_eus-gaap--ShareBasedCompensation"/>
            <w:bookmarkEnd w:id="630"/>
          </w:p>
        </w:tc>
        <w:tc>
          <w:tcPr>
            <w:tcW w:w="3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1" w:name="xdx_8A8_zMFIu4CLJ7te"/>
      <w:bookmarkEnd w:id="6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stock option on the grant date using the Black-Scholes-Merton valuation model, which requires several estimates including an estimate of the fair value of the underlying common stock on grant date. The expected volatility was based on an average of the historical volatility of the Company. The expected term was contractual life of option. The risk-free interest rate was based on the U.S. Treasury yield curve in effect at the time of grant for the expected term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 </w:t>
      </w:r>
      <w:bookmarkStart w:id="632" w:name="xdx_90E_eus-gaap--ShareBasedCompensation"/>
      <w:bookmarkEnd w:id="632"/>
      <w:r>
        <w:rPr>
          <w:rFonts w:ascii="Times New Roman;Times;Serif" w:hAnsi="Times New Roman;Times;Serif"/>
          <w:b w:val="false"/>
          <w:i w:val="false"/>
          <w:caps w:val="false"/>
          <w:smallCaps w:val="false"/>
          <w:sz w:val="20"/>
        </w:rPr>
        <w:t xml:space="preserve">170,032 options outstanding as of September 30, 2025, </w:t>
      </w:r>
      <w:bookmarkStart w:id="633" w:name="xdx_903_eus-gaap--ShareBasedCompensation"/>
      <w:bookmarkEnd w:id="633"/>
      <w:r>
        <w:rPr>
          <w:rFonts w:ascii="Times New Roman;Times;Serif" w:hAnsi="Times New Roman;Times;Serif"/>
          <w:b w:val="false"/>
          <w:i w:val="false"/>
          <w:caps w:val="false"/>
          <w:smallCaps w:val="false"/>
          <w:sz w:val="20"/>
        </w:rPr>
        <w:t>170,018 were awarded to non-executive members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4" w:name="xdx_898_eus-gaap--ScheduleOfUnrecognized"/>
      <w:bookmarkEnd w:id="634"/>
      <w:r>
        <w:rPr>
          <w:rFonts w:ascii="Times New Roman;Times;Serif" w:hAnsi="Times New Roman;Times;Serif"/>
          <w:b w:val="false"/>
          <w:i w:val="false"/>
          <w:caps w:val="false"/>
          <w:smallCaps w:val="false"/>
          <w:sz w:val="20"/>
        </w:rPr>
        <w:t>Unrecognized stock-based compensation as of September 30, 2025, is as follows:</w:t>
      </w:r>
    </w:p>
    <w:p>
      <w:pPr>
        <w:pStyle w:val="TextBody"/>
        <w:bidi w:val="0"/>
        <w:spacing w:before="0" w:after="0"/>
        <w:ind w:left="0" w:right="0" w:hanging="0"/>
        <w:jc w:val="both"/>
        <w:rPr>
          <w:caps w:val="false"/>
          <w:smallCaps w:val="false"/>
        </w:rPr>
      </w:pPr>
      <w:r>
        <w:rPr>
          <w:caps w:val="false"/>
          <w:smallCaps w:val="false"/>
        </w:rPr>
        <w:t> </w:t>
      </w:r>
      <w:bookmarkStart w:id="635" w:name="xdx_8B5_z0PJHUqDkFwi"/>
      <w:bookmarkEnd w:id="635"/>
      <w:r>
        <w:rPr>
          <w:rFonts w:ascii="Times New Roman;Times;Serif" w:hAnsi="Times New Roman;Times;Serif"/>
          <w:b w:val="false"/>
          <w:i w:val="false"/>
          <w:caps w:val="false"/>
          <w:smallCaps w:val="false"/>
          <w:sz w:val="20"/>
        </w:rPr>
        <w:t>Schedule of Unrecognized Stock-based Compensation</w:t>
      </w:r>
    </w:p>
    <w:tbl>
      <w:tblPr>
        <w:tblW w:w="4229" w:type="dxa"/>
        <w:jc w:val="left"/>
        <w:tblInd w:w="0" w:type="dxa"/>
        <w:tblLayout w:type="fixed"/>
        <w:tblCellMar>
          <w:top w:w="0" w:type="dxa"/>
          <w:left w:w="0" w:type="dxa"/>
          <w:bottom w:w="0" w:type="dxa"/>
          <w:right w:w="0" w:type="dxa"/>
        </w:tblCellMar>
      </w:tblPr>
      <w:tblGrid>
        <w:gridCol w:w="1325"/>
        <w:gridCol w:w="60"/>
        <w:gridCol w:w="298"/>
        <w:gridCol w:w="1192"/>
        <w:gridCol w:w="60"/>
        <w:gridCol w:w="60"/>
        <w:gridCol w:w="182"/>
        <w:gridCol w:w="977"/>
        <w:gridCol w:w="7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Unrecognized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Stock-Based</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Recognition</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years)</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bookmarkStart w:id="636" w:name="xdx_980_eus-gaap--EmployeeServiceShareBa"/>
            <w:bookmarkEnd w:id="636"/>
          </w:p>
        </w:tc>
        <w:tc>
          <w:tcPr>
            <w:tcW w:w="11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both"/>
              <w:rPr/>
            </w:pPr>
            <w:r>
              <w:rPr/>
              <w:t>Stock grants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bookmarkStart w:id="637" w:name="xdx_980_eus-gaap--EmployeeServiceShareBa"/>
            <w:bookmarkEnd w:id="637"/>
          </w:p>
        </w:tc>
        <w:tc>
          <w:tcPr>
            <w:tcW w:w="1192" w:type="dxa"/>
            <w:tcBorders/>
            <w:shd w:fill="FFFFFF" w:val="clear"/>
            <w:vAlign w:val="center"/>
          </w:tcPr>
          <w:p>
            <w:pPr>
              <w:pStyle w:val="TableContents"/>
              <w:bidi w:val="0"/>
              <w:spacing w:before="0" w:after="283"/>
              <w:jc w:val="right"/>
              <w:rPr/>
            </w:pPr>
            <w:r>
              <w:rPr/>
              <w:t>2,081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bookmarkStart w:id="638" w:name="xdx_900_eus-gaap--EmployeeServiceShareBa"/>
            <w:bookmarkEnd w:id="638"/>
            <w:r>
              <w:rPr/>
              <w:t>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9" w:name="xdx_8A7_zjlKOlKj6qPl"/>
      <w:bookmarkEnd w:id="63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0" w:name="xdx_809_eus-gaap--CommitmentsAndContinge"/>
      <w:bookmarkEnd w:id="640"/>
      <w:r>
        <w:rPr>
          <w:rFonts w:ascii="Times New Roman;Times;Serif" w:hAnsi="Times New Roman;Times;Serif"/>
          <w:b/>
          <w:i w:val="false"/>
          <w:caps w:val="false"/>
          <w:smallCaps w:val="false"/>
          <w:sz w:val="20"/>
        </w:rPr>
        <w:t xml:space="preserve">11. </w:t>
      </w:r>
      <w:bookmarkStart w:id="641" w:name="xdx_821_zBPyl5EEuJ11"/>
      <w:bookmarkEnd w:id="64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executed agreements with certain executive officers of the Company which, upon the occurrence of certain events related to a change in control, call for payments to the executives up to three times their annual salary and accelerated vesting of previously granted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various claims and legal proceedings covering matters that arise in the ordinary course of its business activities. Management believes any liability that may ultimately result from the resolution of these matters will not have a material adverse effect on the Company’s consolidated financial position, operating results or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2" w:name="xdx_800_eus-gaap--LesseeOperatingLeasesT"/>
      <w:bookmarkEnd w:id="642"/>
      <w:r>
        <w:rPr>
          <w:rFonts w:ascii="Times New Roman;Times;Serif" w:hAnsi="Times New Roman;Times;Serif"/>
          <w:b/>
          <w:i w:val="false"/>
          <w:caps w:val="false"/>
          <w:smallCaps w:val="false"/>
          <w:sz w:val="20"/>
        </w:rPr>
        <w:t xml:space="preserve">12. </w:t>
      </w:r>
      <w:bookmarkStart w:id="643" w:name="xdx_829_z1ErO0MydcTc"/>
      <w:bookmarkEnd w:id="643"/>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multiple operating leases from which it conducts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w:t>
      </w:r>
      <w:bookmarkStart w:id="644" w:name="xdx_905_eus-gaap--AreaOfLand_iI_usqft_c2"/>
      <w:bookmarkEnd w:id="644"/>
      <w:r>
        <w:rPr>
          <w:rFonts w:ascii="Times New Roman;Times;Serif" w:hAnsi="Times New Roman;Times;Serif"/>
          <w:b w:val="false"/>
          <w:i w:val="false"/>
          <w:caps w:val="false"/>
          <w:smallCaps w:val="false"/>
          <w:sz w:val="20"/>
        </w:rPr>
        <w:t xml:space="preserve">30,764 square feet of office, warehouse and manufacturing space under a single operating lease. </w:t>
      </w:r>
      <w:bookmarkStart w:id="645" w:name="xdx_909_eus-gaap--LesseeOperatingLeaseDe"/>
      <w:bookmarkEnd w:id="645"/>
      <w:r>
        <w:rPr>
          <w:rFonts w:ascii="Times New Roman;Times;Serif" w:hAnsi="Times New Roman;Times;Serif"/>
          <w:b w:val="false"/>
          <w:i w:val="false"/>
          <w:caps w:val="false"/>
          <w:smallCaps w:val="false"/>
          <w:sz w:val="20"/>
        </w:rPr>
        <w:t xml:space="preserve">This lease expires in October 2031. </w:t>
      </w:r>
      <w:bookmarkStart w:id="646" w:name="xdx_90F_eus-gaap--LesseeOperatingLeaseOp"/>
      <w:bookmarkEnd w:id="646"/>
      <w:r>
        <w:rPr>
          <w:rFonts w:ascii="Times New Roman;Times;Serif" w:hAnsi="Times New Roman;Times;Serif"/>
          <w:b w:val="false"/>
          <w:i w:val="false"/>
          <w:caps w:val="false"/>
          <w:smallCaps w:val="false"/>
          <w:sz w:val="20"/>
        </w:rPr>
        <w:t>The lease has one five-year extension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SINTX Armor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on behalf of SINTX Armor, leases approximately </w:t>
      </w:r>
      <w:bookmarkStart w:id="647" w:name="xdx_902_eus-gaap--AreaOfLand_iI_usqft_c2"/>
      <w:bookmarkEnd w:id="647"/>
      <w:r>
        <w:rPr>
          <w:rFonts w:ascii="Times New Roman;Times;Serif" w:hAnsi="Times New Roman;Times;Serif"/>
          <w:b w:val="false"/>
          <w:i w:val="false"/>
          <w:caps w:val="false"/>
          <w:smallCaps w:val="false"/>
          <w:sz w:val="20"/>
        </w:rPr>
        <w:t xml:space="preserve">10,936 square feet of office and manufacturing space from which SINTX Armor conducted its operations. </w:t>
      </w:r>
      <w:bookmarkStart w:id="648" w:name="xdx_902_eus-gaap--LesseeOperatingLeaseDe"/>
      <w:bookmarkEnd w:id="648"/>
      <w:r>
        <w:rPr>
          <w:rFonts w:ascii="Times New Roman;Times;Serif" w:hAnsi="Times New Roman;Times;Serif"/>
          <w:b w:val="false"/>
          <w:i w:val="false"/>
          <w:caps w:val="false"/>
          <w:smallCaps w:val="false"/>
          <w:sz w:val="20"/>
        </w:rPr>
        <w:t>This lease expires in October 2031. Impairment of operating lease right-of-use assets of $</w:t>
      </w:r>
      <w:bookmarkStart w:id="649" w:name="xdx_906_eus-gaap--OperatingLeaseImpairme"/>
      <w:bookmarkEnd w:id="649"/>
      <w:r>
        <w:rPr>
          <w:rFonts w:ascii="Times New Roman;Times;Serif" w:hAnsi="Times New Roman;Times;Serif"/>
          <w:b w:val="false"/>
          <w:i w:val="false"/>
          <w:caps w:val="false"/>
          <w:smallCaps w:val="false"/>
          <w:sz w:val="20"/>
        </w:rPr>
        <w:t xml:space="preserve">0.7 million was recorded during 2024 related to Armor exit costs. In October 2025, the Company entered into a sublease agreement for the full </w:t>
      </w:r>
      <w:bookmarkStart w:id="650" w:name="xdx_907_eus-gaap--AreaOfLand_iI_usqft_c2"/>
      <w:bookmarkEnd w:id="650"/>
      <w:r>
        <w:rPr>
          <w:rFonts w:ascii="Times New Roman;Times;Serif" w:hAnsi="Times New Roman;Times;Serif"/>
          <w:b w:val="false"/>
          <w:i w:val="false"/>
          <w:caps w:val="false"/>
          <w:smallCaps w:val="false"/>
          <w:sz w:val="20"/>
        </w:rPr>
        <w:t>10,936 square foot space, which also expires in October 2031 (totaling approximately $</w:t>
      </w:r>
      <w:bookmarkStart w:id="651" w:name="xdx_908_eus-gaap--LeaseCost_c20251001__2"/>
      <w:bookmarkEnd w:id="651"/>
      <w:r>
        <w:rPr>
          <w:rFonts w:ascii="Times New Roman;Times;Serif" w:hAnsi="Times New Roman;Times;Serif"/>
          <w:b w:val="false"/>
          <w:i w:val="false"/>
          <w:caps w:val="false"/>
          <w:smallCaps w:val="false"/>
          <w:sz w:val="20"/>
        </w:rPr>
        <w:t>950,000 over the sublease term). The sublease agreement is effective November 1, 2025, and is subject to landlord approval. A more detailed discussion of the new sublease agreement is set forth in Note 14. Subsequent Events,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TA&amp;T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disposition of TA&amp;T, the lease facilities, including right of use assets and lease liabilities, were transferred to Tethon (see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12 months or less are not recorded on the balance sheet. Lease expense is recognized on a straight-line basis over the term of the lease. The Company accounts for lease components separately from the non-lease components. The depreciable life of the assets and leasehold improvements are limited by the expected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operating lease right-of-use assets were approximately $</w:t>
      </w:r>
      <w:bookmarkStart w:id="652" w:name="xdx_901_eus-gaap--OperatingLeaseRightOfU"/>
      <w:bookmarkEnd w:id="652"/>
      <w:r>
        <w:rPr>
          <w:rFonts w:ascii="Times New Roman;Times;Serif" w:hAnsi="Times New Roman;Times;Serif"/>
          <w:b w:val="false"/>
          <w:i w:val="false"/>
          <w:caps w:val="false"/>
          <w:smallCaps w:val="false"/>
          <w:sz w:val="20"/>
        </w:rPr>
        <w:t>2.5 million, and operating lease liability was approximately $</w:t>
      </w:r>
      <w:bookmarkStart w:id="653" w:name="xdx_903_eus-gaap--OperatingLeaseLiabilit"/>
      <w:bookmarkEnd w:id="653"/>
      <w:r>
        <w:rPr>
          <w:rFonts w:ascii="Times New Roman;Times;Serif" w:hAnsi="Times New Roman;Times;Serif"/>
          <w:b w:val="false"/>
          <w:i w:val="false"/>
          <w:caps w:val="false"/>
          <w:smallCaps w:val="false"/>
          <w:sz w:val="20"/>
        </w:rPr>
        <w:t xml:space="preserve">3.3 million. Non-cash operating lease expense was immaterial during the nine months ended September 30, 2025 and 2024. As of September 30, 2025, the weighted-average discount rate for the Company’s operating lease was </w:t>
      </w:r>
      <w:bookmarkStart w:id="654" w:name="xdx_906_eus-gaap--OperatingLeaseWeighted"/>
      <w:bookmarkEnd w:id="654"/>
      <w:r>
        <w:rPr>
          <w:rFonts w:ascii="Times New Roman;Times;Serif" w:hAnsi="Times New Roman;Times;Serif"/>
          <w:b w:val="false"/>
          <w:i w:val="false"/>
          <w:caps w:val="false"/>
          <w:smallCaps w:val="false"/>
          <w:sz w:val="20"/>
        </w:rPr>
        <w:t>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5" w:name="xdx_892_eus-gaap--LesseeOperatingLeaseLi"/>
      <w:bookmarkEnd w:id="655"/>
      <w:r>
        <w:rPr>
          <w:rFonts w:ascii="Times New Roman;Times;Serif" w:hAnsi="Times New Roman;Times;Serif"/>
          <w:b w:val="false"/>
          <w:i w:val="false"/>
          <w:caps w:val="false"/>
          <w:smallCaps w:val="false"/>
          <w:sz w:val="20"/>
        </w:rPr>
        <w:t>Operating lease future minimum payments together with the present values as of September 30, 2025, are summarized as follows (in thousands):</w:t>
      </w:r>
    </w:p>
    <w:p>
      <w:pPr>
        <w:pStyle w:val="TextBody"/>
        <w:bidi w:val="0"/>
        <w:spacing w:before="0" w:after="0"/>
        <w:ind w:left="0" w:right="0" w:hanging="0"/>
        <w:jc w:val="both"/>
        <w:rPr>
          <w:caps w:val="false"/>
          <w:smallCaps w:val="false"/>
        </w:rPr>
      </w:pPr>
      <w:r>
        <w:rPr>
          <w:caps w:val="false"/>
          <w:smallCaps w:val="false"/>
        </w:rPr>
        <w:t> </w:t>
      </w:r>
      <w:bookmarkStart w:id="656" w:name="xdx_8B1_zDSB7pabcnqh"/>
      <w:bookmarkEnd w:id="656"/>
      <w:r>
        <w:rPr>
          <w:rFonts w:ascii="Times New Roman;Times;Serif" w:hAnsi="Times New Roman;Times;Serif"/>
          <w:b w:val="false"/>
          <w:i w:val="false"/>
          <w:caps w:val="false"/>
          <w:smallCaps w:val="false"/>
          <w:sz w:val="20"/>
        </w:rPr>
        <w:t>Schedule of Operating Lease Future Minimum Payments</w:t>
      </w:r>
    </w:p>
    <w:tbl>
      <w:tblPr>
        <w:tblW w:w="5040" w:type="dxa"/>
        <w:jc w:val="left"/>
        <w:tblInd w:w="0" w:type="dxa"/>
        <w:tblLayout w:type="fixed"/>
        <w:tblCellMar>
          <w:top w:w="0" w:type="dxa"/>
          <w:left w:w="0" w:type="dxa"/>
          <w:bottom w:w="28" w:type="dxa"/>
          <w:right w:w="0" w:type="dxa"/>
        </w:tblCellMar>
      </w:tblPr>
      <w:tblGrid>
        <w:gridCol w:w="4010"/>
        <w:gridCol w:w="60"/>
        <w:gridCol w:w="155"/>
        <w:gridCol w:w="705"/>
        <w:gridCol w:w="110"/>
      </w:tblGrid>
      <w:tr>
        <w:trPr/>
        <w:tc>
          <w:tcPr>
            <w:tcW w:w="401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657" w:name="xdx_49C_20250930_zGHXd2zm5Fhb"/>
            <w:bookmarkEnd w:id="657"/>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bookmarkStart w:id="658" w:name="xdx_409_eus-gaap--LesseeOperatingLeaseLi"/>
            <w:bookmarkEnd w:id="658"/>
          </w:p>
        </w:tc>
      </w:tr>
      <w:tr>
        <w:trPr/>
        <w:tc>
          <w:tcPr>
            <w:tcW w:w="4010" w:type="dxa"/>
            <w:tcBorders/>
            <w:shd w:fill="CCEEFF" w:val="clear"/>
            <w:tcMar>
              <w:bottom w:w="0" w:type="dxa"/>
            </w:tcMar>
            <w:vAlign w:val="center"/>
          </w:tcPr>
          <w:p>
            <w:pPr>
              <w:pStyle w:val="TableContents"/>
              <w:bidi w:val="0"/>
              <w:spacing w:before="0" w:after="283"/>
              <w:jc w:val="both"/>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165</w:t>
            </w:r>
          </w:p>
        </w:tc>
        <w:tc>
          <w:tcPr>
            <w:tcW w:w="110" w:type="dxa"/>
            <w:tcBorders/>
            <w:shd w:fill="CCEEFF" w:val="clear"/>
            <w:tcMar>
              <w:bottom w:w="0" w:type="dxa"/>
            </w:tcMar>
            <w:vAlign w:val="center"/>
          </w:tcPr>
          <w:p>
            <w:pPr>
              <w:pStyle w:val="TableContents"/>
              <w:bidi w:val="0"/>
              <w:spacing w:before="0" w:after="283"/>
              <w:jc w:val="left"/>
              <w:rPr/>
            </w:pPr>
            <w:r>
              <w:rPr/>
              <w:t> </w:t>
            </w:r>
            <w:bookmarkStart w:id="659" w:name="xdx_408_eus-gaap--LesseeOperatingLeaseLi"/>
            <w:bookmarkEnd w:id="659"/>
          </w:p>
        </w:tc>
      </w:tr>
      <w:tr>
        <w:trPr/>
        <w:tc>
          <w:tcPr>
            <w:tcW w:w="4010" w:type="dxa"/>
            <w:tcBorders/>
            <w:shd w:fill="FFFFFF" w:val="clear"/>
            <w:tcMar>
              <w:bottom w:w="0" w:type="dxa"/>
            </w:tcMar>
            <w:vAlign w:val="center"/>
          </w:tcPr>
          <w:p>
            <w:pPr>
              <w:pStyle w:val="TableContents"/>
              <w:bidi w:val="0"/>
              <w:spacing w:before="0" w:after="283"/>
              <w:jc w:val="both"/>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t>668</w:t>
            </w:r>
          </w:p>
        </w:tc>
        <w:tc>
          <w:tcPr>
            <w:tcW w:w="110" w:type="dxa"/>
            <w:tcBorders/>
            <w:shd w:fill="FFFFFF" w:val="clear"/>
            <w:tcMar>
              <w:bottom w:w="0" w:type="dxa"/>
            </w:tcMar>
            <w:vAlign w:val="center"/>
          </w:tcPr>
          <w:p>
            <w:pPr>
              <w:pStyle w:val="TableContents"/>
              <w:bidi w:val="0"/>
              <w:spacing w:before="0" w:after="283"/>
              <w:jc w:val="left"/>
              <w:rPr/>
            </w:pPr>
            <w:r>
              <w:rPr/>
              <w:t> </w:t>
            </w:r>
            <w:bookmarkStart w:id="660" w:name="xdx_403_eus-gaap--LesseeOperatingLeaseLi"/>
            <w:bookmarkEnd w:id="660"/>
          </w:p>
        </w:tc>
      </w:tr>
      <w:tr>
        <w:trPr/>
        <w:tc>
          <w:tcPr>
            <w:tcW w:w="4010"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t>688</w:t>
            </w:r>
          </w:p>
        </w:tc>
        <w:tc>
          <w:tcPr>
            <w:tcW w:w="110" w:type="dxa"/>
            <w:tcBorders/>
            <w:shd w:fill="CCEEFF" w:val="clear"/>
            <w:tcMar>
              <w:bottom w:w="0" w:type="dxa"/>
            </w:tcMar>
            <w:vAlign w:val="center"/>
          </w:tcPr>
          <w:p>
            <w:pPr>
              <w:pStyle w:val="TableContents"/>
              <w:bidi w:val="0"/>
              <w:spacing w:before="0" w:after="283"/>
              <w:jc w:val="left"/>
              <w:rPr/>
            </w:pPr>
            <w:r>
              <w:rPr/>
              <w:t> </w:t>
            </w:r>
            <w:bookmarkStart w:id="661" w:name="xdx_405_eus-gaap--LesseeOperatingLeaseLi"/>
            <w:bookmarkEnd w:id="661"/>
          </w:p>
        </w:tc>
      </w:tr>
      <w:tr>
        <w:trPr/>
        <w:tc>
          <w:tcPr>
            <w:tcW w:w="4010" w:type="dxa"/>
            <w:tcBorders/>
            <w:shd w:fill="FFFFFF" w:val="clear"/>
            <w:tcMar>
              <w:bottom w:w="0" w:type="dxa"/>
            </w:tcMar>
            <w:vAlign w:val="center"/>
          </w:tcPr>
          <w:p>
            <w:pPr>
              <w:pStyle w:val="TableContents"/>
              <w:bidi w:val="0"/>
              <w:spacing w:before="0" w:after="283"/>
              <w:jc w:val="both"/>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t>709</w:t>
            </w:r>
          </w:p>
        </w:tc>
        <w:tc>
          <w:tcPr>
            <w:tcW w:w="110" w:type="dxa"/>
            <w:tcBorders/>
            <w:shd w:fill="FFFFFF" w:val="clear"/>
            <w:tcMar>
              <w:bottom w:w="0" w:type="dxa"/>
            </w:tcMar>
            <w:vAlign w:val="center"/>
          </w:tcPr>
          <w:p>
            <w:pPr>
              <w:pStyle w:val="TableContents"/>
              <w:bidi w:val="0"/>
              <w:spacing w:before="0" w:after="283"/>
              <w:jc w:val="left"/>
              <w:rPr/>
            </w:pPr>
            <w:r>
              <w:rPr/>
              <w:t> </w:t>
            </w:r>
            <w:bookmarkStart w:id="662" w:name="xdx_401_eus-gaap--LesseeOperatingLeaseLi"/>
            <w:bookmarkEnd w:id="662"/>
          </w:p>
        </w:tc>
      </w:tr>
      <w:tr>
        <w:trPr/>
        <w:tc>
          <w:tcPr>
            <w:tcW w:w="4010" w:type="dxa"/>
            <w:tcBorders/>
            <w:shd w:fill="CCEEFF" w:val="clear"/>
            <w:tcMar>
              <w:bottom w:w="0" w:type="dxa"/>
            </w:tcMar>
            <w:vAlign w:val="center"/>
          </w:tcPr>
          <w:p>
            <w:pPr>
              <w:pStyle w:val="TableContents"/>
              <w:bidi w:val="0"/>
              <w:spacing w:before="0" w:after="283"/>
              <w:jc w:val="both"/>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t>730</w:t>
            </w:r>
          </w:p>
        </w:tc>
        <w:tc>
          <w:tcPr>
            <w:tcW w:w="110" w:type="dxa"/>
            <w:tcBorders/>
            <w:shd w:fill="CCEEFF" w:val="clear"/>
            <w:tcMar>
              <w:bottom w:w="0" w:type="dxa"/>
            </w:tcMar>
            <w:vAlign w:val="center"/>
          </w:tcPr>
          <w:p>
            <w:pPr>
              <w:pStyle w:val="TableContents"/>
              <w:bidi w:val="0"/>
              <w:spacing w:before="0" w:after="283"/>
              <w:jc w:val="left"/>
              <w:rPr/>
            </w:pPr>
            <w:r>
              <w:rPr/>
              <w:t> </w:t>
            </w:r>
            <w:bookmarkStart w:id="663" w:name="xdx_40E_ecustom--LesseeOperatingLeaseLia"/>
            <w:bookmarkEnd w:id="663"/>
          </w:p>
        </w:tc>
      </w:tr>
      <w:tr>
        <w:trPr/>
        <w:tc>
          <w:tcPr>
            <w:tcW w:w="401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705" w:type="dxa"/>
            <w:tcBorders>
              <w:bottom w:val="single" w:sz="8" w:space="0" w:color="000000"/>
            </w:tcBorders>
            <w:shd w:fill="FFFFFF" w:val="clear"/>
            <w:vAlign w:val="center"/>
          </w:tcPr>
          <w:p>
            <w:pPr>
              <w:pStyle w:val="TableContents"/>
              <w:bidi w:val="0"/>
              <w:spacing w:before="0" w:after="283"/>
              <w:jc w:val="right"/>
              <w:rPr/>
            </w:pPr>
            <w:r>
              <w:rPr/>
              <w:t>1,395</w:t>
            </w:r>
          </w:p>
        </w:tc>
        <w:tc>
          <w:tcPr>
            <w:tcW w:w="110" w:type="dxa"/>
            <w:tcBorders/>
            <w:shd w:fill="FFFFFF" w:val="clear"/>
            <w:tcMar>
              <w:bottom w:w="0" w:type="dxa"/>
            </w:tcMar>
            <w:vAlign w:val="center"/>
          </w:tcPr>
          <w:p>
            <w:pPr>
              <w:pStyle w:val="TableContents"/>
              <w:bidi w:val="0"/>
              <w:spacing w:before="0" w:after="283"/>
              <w:jc w:val="left"/>
              <w:rPr/>
            </w:pPr>
            <w:r>
              <w:rPr/>
              <w:t> </w:t>
            </w:r>
            <w:bookmarkStart w:id="664" w:name="xdx_40B_eus-gaap--LesseeOperatingLeaseLi"/>
            <w:bookmarkEnd w:id="664"/>
          </w:p>
        </w:tc>
      </w:tr>
      <w:tr>
        <w:trPr/>
        <w:tc>
          <w:tcPr>
            <w:tcW w:w="4010" w:type="dxa"/>
            <w:tcBorders/>
            <w:shd w:fill="CCEEFF" w:val="clear"/>
            <w:tcMar>
              <w:bottom w:w="0" w:type="dxa"/>
            </w:tcMar>
            <w:vAlign w:val="center"/>
          </w:tcPr>
          <w:p>
            <w:pPr>
              <w:pStyle w:val="TableContents"/>
              <w:bidi w:val="0"/>
              <w:spacing w:before="0" w:after="283"/>
              <w:jc w:val="both"/>
              <w:rPr/>
            </w:pPr>
            <w:r>
              <w:rPr/>
              <w:t>Total future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t>4,355</w:t>
            </w:r>
          </w:p>
        </w:tc>
        <w:tc>
          <w:tcPr>
            <w:tcW w:w="110" w:type="dxa"/>
            <w:tcBorders/>
            <w:shd w:fill="CCEEFF" w:val="clear"/>
            <w:tcMar>
              <w:bottom w:w="0" w:type="dxa"/>
            </w:tcMar>
            <w:vAlign w:val="center"/>
          </w:tcPr>
          <w:p>
            <w:pPr>
              <w:pStyle w:val="TableContents"/>
              <w:bidi w:val="0"/>
              <w:spacing w:before="0" w:after="283"/>
              <w:jc w:val="left"/>
              <w:rPr/>
            </w:pPr>
            <w:r>
              <w:rPr/>
              <w:t> </w:t>
            </w:r>
            <w:bookmarkStart w:id="665" w:name="xdx_407_eus-gaap--LesseeOperatingLeaseLi"/>
            <w:bookmarkEnd w:id="665"/>
          </w:p>
        </w:tc>
      </w:tr>
      <w:tr>
        <w:trPr/>
        <w:tc>
          <w:tcPr>
            <w:tcW w:w="4010" w:type="dxa"/>
            <w:tcBorders/>
            <w:shd w:fill="FFFFFF" w:val="clear"/>
            <w:tcMar>
              <w:bottom w:w="0" w:type="dxa"/>
            </w:tcMar>
            <w:vAlign w:val="center"/>
          </w:tcPr>
          <w:p>
            <w:pPr>
              <w:pStyle w:val="TableContents"/>
              <w:bidi w:val="0"/>
              <w:spacing w:before="0" w:after="283"/>
              <w:jc w:val="both"/>
              <w:rPr/>
            </w:pPr>
            <w:r>
              <w:rPr/>
              <w:t>Less amounts representing interests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705" w:type="dxa"/>
            <w:tcBorders>
              <w:bottom w:val="single" w:sz="8" w:space="0" w:color="000000"/>
            </w:tcBorders>
            <w:shd w:fill="FFFFFF" w:val="clear"/>
            <w:vAlign w:val="center"/>
          </w:tcPr>
          <w:p>
            <w:pPr>
              <w:pStyle w:val="TableContents"/>
              <w:bidi w:val="0"/>
              <w:spacing w:before="0" w:after="283"/>
              <w:jc w:val="right"/>
              <w:rPr/>
            </w:pPr>
            <w:r>
              <w:rPr/>
              <w:t>(1,022</w:t>
            </w:r>
          </w:p>
        </w:tc>
        <w:tc>
          <w:tcPr>
            <w:tcW w:w="110" w:type="dxa"/>
            <w:tcBorders/>
            <w:shd w:fill="FFFFFF" w:val="clear"/>
            <w:tcMar>
              <w:bottom w:w="0" w:type="dxa"/>
            </w:tcMar>
            <w:vAlign w:val="center"/>
          </w:tcPr>
          <w:p>
            <w:pPr>
              <w:pStyle w:val="TableContents"/>
              <w:bidi w:val="0"/>
              <w:spacing w:before="0" w:after="283"/>
              <w:jc w:val="left"/>
              <w:rPr/>
            </w:pPr>
            <w:r>
              <w:rPr/>
              <w:t>)</w:t>
            </w:r>
            <w:bookmarkStart w:id="666" w:name="xdx_408_eus-gaap--OperatingLeaseLiabilit"/>
            <w:bookmarkEnd w:id="666"/>
          </w:p>
        </w:tc>
      </w:tr>
      <w:tr>
        <w:trPr/>
        <w:tc>
          <w:tcPr>
            <w:tcW w:w="4010" w:type="dxa"/>
            <w:tcBorders/>
            <w:shd w:fill="CCEEFF" w:val="clear"/>
            <w:tcMar>
              <w:bottom w:w="0" w:type="dxa"/>
            </w:tcMar>
            <w:vAlign w:val="center"/>
          </w:tcPr>
          <w:p>
            <w:pPr>
              <w:pStyle w:val="TableContents"/>
              <w:bidi w:val="0"/>
              <w:spacing w:before="0" w:after="283"/>
              <w:jc w:val="both"/>
              <w:rPr/>
            </w:pPr>
            <w:r>
              <w:rPr/>
              <w:t>Present value of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t>3,333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667" w:name="xdx_40D_eus-gaap--OperatingLeaseLiabilit"/>
            <w:bookmarkEnd w:id="667"/>
          </w:p>
        </w:tc>
      </w:tr>
      <w:tr>
        <w:trPr/>
        <w:tc>
          <w:tcPr>
            <w:tcW w:w="4010" w:type="dxa"/>
            <w:tcBorders/>
            <w:shd w:fill="CCEEFF" w:val="clear"/>
            <w:tcMar>
              <w:bottom w:w="0" w:type="dxa"/>
            </w:tcMar>
            <w:vAlign w:val="center"/>
          </w:tcPr>
          <w:p>
            <w:pPr>
              <w:pStyle w:val="TableContents"/>
              <w:bidi w:val="0"/>
              <w:spacing w:before="0" w:after="283"/>
              <w:jc w:val="both"/>
              <w:rPr/>
            </w:pPr>
            <w:r>
              <w:rPr/>
              <w:t>Current portion of operating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 </w:t>
            </w:r>
          </w:p>
        </w:tc>
        <w:tc>
          <w:tcPr>
            <w:tcW w:w="705" w:type="dxa"/>
            <w:tcBorders>
              <w:bottom w:val="single" w:sz="8" w:space="0" w:color="000000"/>
            </w:tcBorders>
            <w:shd w:fill="CCEEFF" w:val="clear"/>
            <w:vAlign w:val="center"/>
          </w:tcPr>
          <w:p>
            <w:pPr>
              <w:pStyle w:val="TableContents"/>
              <w:bidi w:val="0"/>
              <w:spacing w:before="0" w:after="283"/>
              <w:jc w:val="right"/>
              <w:rPr/>
            </w:pPr>
            <w:r>
              <w:rPr/>
              <w:t>384</w:t>
            </w:r>
          </w:p>
        </w:tc>
        <w:tc>
          <w:tcPr>
            <w:tcW w:w="110" w:type="dxa"/>
            <w:tcBorders/>
            <w:shd w:fill="CCEEFF" w:val="clear"/>
            <w:tcMar>
              <w:bottom w:w="0" w:type="dxa"/>
            </w:tcMar>
            <w:vAlign w:val="center"/>
          </w:tcPr>
          <w:p>
            <w:pPr>
              <w:pStyle w:val="TableContents"/>
              <w:bidi w:val="0"/>
              <w:spacing w:before="0" w:after="283"/>
              <w:jc w:val="left"/>
              <w:rPr/>
            </w:pPr>
            <w:r>
              <w:rPr/>
              <w:t> </w:t>
            </w:r>
            <w:bookmarkStart w:id="668" w:name="xdx_407_eus-gaap--OperatingLeaseLiabilit"/>
            <w:bookmarkEnd w:id="668"/>
          </w:p>
        </w:tc>
      </w:tr>
      <w:tr>
        <w:trPr/>
        <w:tc>
          <w:tcPr>
            <w:tcW w:w="4010" w:type="dxa"/>
            <w:tcBorders/>
            <w:shd w:fill="FFFFFF" w:val="clear"/>
            <w:tcMar>
              <w:bottom w:w="0" w:type="dxa"/>
            </w:tcMar>
            <w:vAlign w:val="center"/>
          </w:tcPr>
          <w:p>
            <w:pPr>
              <w:pStyle w:val="TableContents"/>
              <w:bidi w:val="0"/>
              <w:spacing w:before="0" w:after="283"/>
              <w:jc w:val="both"/>
              <w:rPr/>
            </w:pPr>
            <w:r>
              <w:rPr/>
              <w:t>Long-term portion operating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vAlign w:val="center"/>
          </w:tcPr>
          <w:p>
            <w:pPr>
              <w:pStyle w:val="TableContents"/>
              <w:bidi w:val="0"/>
              <w:spacing w:before="0" w:after="283"/>
              <w:jc w:val="left"/>
              <w:rPr/>
            </w:pPr>
            <w:r>
              <w:rPr/>
              <w:t>$</w:t>
            </w:r>
          </w:p>
        </w:tc>
        <w:tc>
          <w:tcPr>
            <w:tcW w:w="705" w:type="dxa"/>
            <w:tcBorders>
              <w:bottom w:val="double" w:sz="6" w:space="0" w:color="000000"/>
            </w:tcBorders>
            <w:shd w:fill="FFFFFF" w:val="clear"/>
            <w:vAlign w:val="center"/>
          </w:tcPr>
          <w:p>
            <w:pPr>
              <w:pStyle w:val="TableContents"/>
              <w:bidi w:val="0"/>
              <w:spacing w:before="0" w:after="283"/>
              <w:jc w:val="right"/>
              <w:rPr/>
            </w:pPr>
            <w:r>
              <w:rPr/>
              <w:t>2,949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9" w:name="xdx_8A7_zqqOYjvl36Kj"/>
      <w:bookmarkEnd w:id="66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0" w:name="xdx_80C_eus-gaap--RelatedPartyTransactio"/>
      <w:bookmarkEnd w:id="670"/>
      <w:r>
        <w:rPr>
          <w:rFonts w:ascii="Times New Roman;Times;Serif" w:hAnsi="Times New Roman;Times;Serif"/>
          <w:b/>
          <w:i w:val="false"/>
          <w:caps w:val="false"/>
          <w:smallCaps w:val="false"/>
          <w:sz w:val="20"/>
        </w:rPr>
        <w:t xml:space="preserve">13. </w:t>
      </w:r>
      <w:bookmarkStart w:id="671" w:name="xdx_82D_zJPSjTHZF7dh"/>
      <w:bookmarkEnd w:id="67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entered into a Research Collaboration Agreement (“Research Agreement”) with a company that is majority owned by a shareholder of the Company. The Company paid $</w:t>
      </w:r>
      <w:bookmarkStart w:id="672" w:name="xdx_902_ecustom--PaymentOfResearchFund_c"/>
      <w:bookmarkEnd w:id="672"/>
      <w:r>
        <w:rPr>
          <w:rFonts w:ascii="Times New Roman;Times;Serif" w:hAnsi="Times New Roman;Times;Serif"/>
          <w:b w:val="false"/>
          <w:i w:val="false"/>
          <w:caps w:val="false"/>
          <w:smallCaps w:val="false"/>
          <w:sz w:val="20"/>
        </w:rPr>
        <w:t>500,000 to fund the Research Agreement. As of September 30, 2025, the remaining prepaid balance was $</w:t>
      </w:r>
      <w:bookmarkStart w:id="673" w:name="xdx_90F_ecustom--ResearchFundRemainingPr"/>
      <w:bookmarkEnd w:id="673"/>
      <w:r>
        <w:rPr>
          <w:rFonts w:ascii="Times New Roman;Times;Serif" w:hAnsi="Times New Roman;Times;Serif"/>
          <w:b w:val="false"/>
          <w:i w:val="false"/>
          <w:caps w:val="false"/>
          <w:smallCaps w:val="false"/>
          <w:sz w:val="20"/>
        </w:rPr>
        <w:t>6,000, included in prepaid expenses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4" w:name="xdx_80C_eus-gaap--SubsequentEventsTextBl"/>
      <w:bookmarkEnd w:id="674"/>
      <w:r>
        <w:rPr>
          <w:rFonts w:ascii="Times New Roman;Times;Serif" w:hAnsi="Times New Roman;Times;Serif"/>
          <w:b/>
          <w:i w:val="false"/>
          <w:caps w:val="false"/>
          <w:smallCaps w:val="false"/>
          <w:sz w:val="20"/>
        </w:rPr>
        <w:t xml:space="preserve">14. </w:t>
      </w:r>
      <w:bookmarkStart w:id="675" w:name="xdx_82A_zLwZ0nYVpfI2"/>
      <w:bookmarkEnd w:id="67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Wainwright ATM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the Company entered into an At The Market Offering Agreement (the “2025 ATM Agreement”) with H.C. Wainwright &amp; Co., LLC, as sales agent (“Wainwright”), to sell shares of its common stock, par value $</w:t>
      </w:r>
      <w:bookmarkStart w:id="676" w:name="xdx_906_eus-gaap--CommonStockParOrStated"/>
      <w:bookmarkEnd w:id="676"/>
      <w:r>
        <w:rPr>
          <w:rFonts w:ascii="Times New Roman;Times;Serif" w:hAnsi="Times New Roman;Times;Serif"/>
          <w:b w:val="false"/>
          <w:i w:val="false"/>
          <w:caps w:val="false"/>
          <w:smallCaps w:val="false"/>
          <w:sz w:val="20"/>
        </w:rPr>
        <w:t>0.01 per share (the “2025 ATM Shares”) from time to time, through an “at the market offering” program under which Wainwright will act as sales agent. The sales, if any, of the 2025 ATM Shares made under the 2025 ATM Agreement will be made by any method permitted by law deemed to be an “at the market offering” as defined in Rule 415 promulgated under the Securities Act of 1933, as amended, including, without limitation, sales made directly on or through the Nasdaq Capital Market or on any other existing trading market for the Company’s common stock. The 2025 ATM Shares will be issued pursuant to the Company’s shelf registration statement on Form S-3 (File No. 333-274951) initially filed by the Company with the SEC on October 12, 2023, and declared effective by the SEC on November 27, 2023, and related prospectus supplements to be prepared and filed pursuant to Rule 424(b) from time to time in connection with the offer and sale of the Shares. A prospectus supplement, dated October 3, 2025, covering the offer and sale of the 2025 ATM Shares having an aggregate offering price of $</w:t>
      </w:r>
      <w:bookmarkStart w:id="677" w:name="xdx_90F_eus-gaap--SaleOfStockConsiderati"/>
      <w:bookmarkEnd w:id="677"/>
      <w:r>
        <w:rPr>
          <w:rFonts w:ascii="Times New Roman;Times;Serif" w:hAnsi="Times New Roman;Times;Serif"/>
          <w:b w:val="false"/>
          <w:i w:val="false"/>
          <w:caps w:val="false"/>
          <w:smallCaps w:val="false"/>
          <w:sz w:val="20"/>
        </w:rPr>
        <w:t>6,413,876 was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Sublease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2025, the Company entered into a Sublease Agreement (the “Sublease”) with Hayes Performance Systems, Inc., a Delaware corporation (“Hayes”), pursuant to which the Company agreed to sublease to Hayes all of the premises the Company currently leases under its Industrial Lease Agreement dated August 19, 2021 with SLS Industrial Portfolio Owner SLCP, LLC (the “Prime Lease”). The </w:t>
      </w:r>
      <w:bookmarkStart w:id="678" w:name="xdx_900_eus-gaap--LesseeOperatingLeaseDe"/>
      <w:bookmarkEnd w:id="678"/>
      <w:r>
        <w:rPr>
          <w:rFonts w:ascii="Times New Roman;Times;Serif" w:hAnsi="Times New Roman;Times;Serif"/>
          <w:b w:val="false"/>
          <w:i w:val="false"/>
          <w:caps w:val="false"/>
          <w:smallCaps w:val="false"/>
          <w:sz w:val="20"/>
        </w:rPr>
        <w:t>Sublease term commences on November 1, 2025, and expires on October 31, 2031, unless earlier terminated in accordance with the Sublease or upon termination of the Prime Lease. Under the Sublease, Hayes will pay the Company base rent ranging from approximately $</w:t>
      </w:r>
      <w:bookmarkStart w:id="679" w:name="xdx_903_eus-gaap--PaymentsForRent_c20251"/>
      <w:bookmarkEnd w:id="679"/>
      <w:r>
        <w:rPr>
          <w:rFonts w:ascii="Times New Roman;Times;Serif" w:hAnsi="Times New Roman;Times;Serif"/>
          <w:b w:val="false"/>
          <w:i w:val="false"/>
          <w:caps w:val="false"/>
          <w:smallCaps w:val="false"/>
          <w:sz w:val="20"/>
        </w:rPr>
        <w:t>9,700 per month during the first year of the Sublease to approximately $</w:t>
      </w:r>
      <w:bookmarkStart w:id="680" w:name="xdx_907_eus-gaap--PaymentsForRent_c20251"/>
      <w:bookmarkEnd w:id="680"/>
      <w:r>
        <w:rPr>
          <w:rFonts w:ascii="Times New Roman;Times;Serif" w:hAnsi="Times New Roman;Times;Serif"/>
          <w:b w:val="false"/>
          <w:i w:val="false"/>
          <w:caps w:val="false"/>
          <w:smallCaps w:val="false"/>
          <w:sz w:val="20"/>
        </w:rPr>
        <w:t>11,300 per month during the final year of the term, plus its proportionate share of operating expenses and taxes, currently estimated at $</w:t>
      </w:r>
      <w:bookmarkStart w:id="681" w:name="xdx_907_ecustom--RentableArea_iI_c202510"/>
      <w:bookmarkEnd w:id="681"/>
      <w:r>
        <w:rPr>
          <w:rFonts w:ascii="Times New Roman;Times;Serif" w:hAnsi="Times New Roman;Times;Serif"/>
          <w:b w:val="false"/>
          <w:i w:val="false"/>
          <w:caps w:val="false"/>
          <w:smallCaps w:val="false"/>
          <w:sz w:val="20"/>
        </w:rPr>
        <w:t>0.25 per rentable square foot per month. The Sublease provides for a three-month rent deferral totaling approximately $</w:t>
      </w:r>
      <w:bookmarkStart w:id="682" w:name="xdx_908_eus-gaap--DeferredRentReceivable"/>
      <w:bookmarkEnd w:id="682"/>
      <w:r>
        <w:rPr>
          <w:rFonts w:ascii="Times New Roman;Times;Serif" w:hAnsi="Times New Roman;Times;Serif"/>
          <w:b w:val="false"/>
          <w:i w:val="false"/>
          <w:caps w:val="false"/>
          <w:smallCaps w:val="false"/>
          <w:sz w:val="20"/>
        </w:rPr>
        <w:t>29,200, which will be repaid in six equal monthly installments beginning February 1, 2026. The Sublease is structured as a triple-net arrangement under which Hayes will be responsible for substantially all costs associated with the Subleased Premises, including utilities, maintenance, and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83" w:name="xdx_815_zJH6Vl7dcail"/>
      <w:bookmarkEnd w:id="68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4" w:name="a_006"/>
      <w:bookmarkEnd w:id="68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for the year ended December 31, 2024 and the notes thereto, along with Management’s Discussion and Analysis of Financial Condition and Results of Operations, included in our Annual Report on Form 10-K for the year ended December 31, 2024, filed separately with the U.S. Securities and Exchange Commission. This discussion and analysis contains forward-looking statements based upon current beliefs, plans, expectations, intentions and projections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“Risk Factors” section of our Annual Report on Form 10-K for the year ended December 31, 2024, and any updates to those risk factors filed from time to time in our Quarterly Reports on Form 10-Q and in other filings with the Securities and Exchange Commission we may make from time-to-time.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is an advanced ceramics company formed in December 1996 that develops and commercializes materials, components, and technologies for medical and agribiotech applications. SINTX provides biomedical solutions for medical devices specializing in silicon nitride (Si₃N₄) for musculoskeletal and antipathogenic applications. SINTX is a global leader in the research, development, and manufacturing of silicon nitride, and its products have been implanted in humans since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Since its inception, SINTX has been focused on medical grade silicon nitride. SINTX biomedical products have been shown to 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More recently, in October 2025, SINTX received U.S. Food and Drug Administration (FDA) 510(k) clearance for the SiNAPTIC® Foot &amp; Ankle Osteotomy Wedge System, enabling SINTX’s commercial entry into reconstructive foot and ankle surgery in the United States. These next-generation implants blend cutting-edge biomaterials science with surgical precision and are designed to elevate standards in orthopedic procedures. SINTX silicon nitride products can be polished to a smooth and wear-resistant surface for articulating applications, such as bearings for hip and knee replacements.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Bacterial infection of any biomaterial implants is always a concern. SINTX silicon nitride has been shown to be resistant to bacterial colonization and biofilm formation, making it antibacterial.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Today, there is a global need to improve protection against pathogens in everyday life. SINTX believes that by 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manufacture advanced ceramic powders and components in our manufacturing facilities based in Salt Lake City, Utah.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SINTX Salt Lake City facility is registered with the FDA, is cGMP and ANVISA RDC 665 compliant, as well as being ISO 9001:2015, ISO 13485:2016 certified, and ASD9100D certified. The Company’s products are primarily sold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our business within one reportable segment, which is consistent with how our management reviews our business, makes investment and resource allocation decisions, and assesses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revenue is derived from the manufacture and sale of products. These revenue sources primarily include coatings, materials, and components for aerospace and medical device markets, toll processing services, and government contracts and grants. We generally recognize revenue from sales where control transfers at a point in time as the title and risk of loss passes to the customer, which is at the time the product is shipped. In general, our customer does not have rights of return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product revenue will increase as we complete development and obtain regulatory clearance for our product candidates and secure opportunities to manufacture third party products with silicon nitride.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derive grant and contract revenue from awards provided by governmental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that are included in cost of revenue include all in-house manufacturing costs for the products we manufacture.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measures our product revenue relative to our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costs are expensed as incurred. Research and development costs consist of engineering, product development, clinical trials, test-part manufacturing, testing, developing and validating the manufacturing process, manufacturing, facility and regulatory-related costs. Research and development expenses also include employee compensation, employee and non-employee stock-based compensation, supplies and materials, consultant services, and travel and facilities expenses related to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additional research and development costs as we continue to develop new medical devices, related product candidates for antipathogenic applications, and other products which may increase our total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related costs, including stock-based compensation for certain members of our executive team and board of directors, and other personnel employed in finance, legal, compliance, administrative, information technology, customer service, executive and human resource departments. General and administrative expenses also include other expenses not part of the other cost categories mentioned above, including facility expenses and professional fees for accounting and legal services.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tabular presentation of our unaudited condensed consolidated operating results for the three and nine months ended September 30, 2025 and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0"/>
        <w:gridCol w:w="60"/>
        <w:gridCol w:w="140"/>
        <w:gridCol w:w="635"/>
        <w:gridCol w:w="95"/>
        <w:gridCol w:w="60"/>
        <w:gridCol w:w="140"/>
        <w:gridCol w:w="635"/>
        <w:gridCol w:w="95"/>
        <w:gridCol w:w="60"/>
        <w:gridCol w:w="147"/>
        <w:gridCol w:w="668"/>
        <w:gridCol w:w="95"/>
        <w:gridCol w:w="60"/>
        <w:gridCol w:w="94"/>
        <w:gridCol w:w="721"/>
        <w:gridCol w:w="215"/>
        <w:gridCol w:w="60"/>
        <w:gridCol w:w="140"/>
        <w:gridCol w:w="635"/>
        <w:gridCol w:w="95"/>
        <w:gridCol w:w="60"/>
        <w:gridCol w:w="140"/>
        <w:gridCol w:w="755"/>
        <w:gridCol w:w="95"/>
        <w:gridCol w:w="60"/>
        <w:gridCol w:w="147"/>
        <w:gridCol w:w="668"/>
        <w:gridCol w:w="95"/>
        <w:gridCol w:w="60"/>
        <w:gridCol w:w="94"/>
        <w:gridCol w:w="721"/>
        <w:gridCol w:w="230"/>
      </w:tblGrid>
      <w:tr>
        <w:trPr/>
        <w:tc>
          <w:tcPr>
            <w:tcW w:w="2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230" w:type="dxa"/>
            <w:tcBorders/>
            <w:shd w:fill="CCEEFF" w:val="clear"/>
            <w:vAlign w:val="center"/>
          </w:tcPr>
          <w:p>
            <w:pPr>
              <w:pStyle w:val="TableContents"/>
              <w:bidi w:val="0"/>
              <w:spacing w:before="0" w:after="283"/>
              <w:jc w:val="left"/>
              <w:rPr/>
            </w:pPr>
            <w:r>
              <w:rPr/>
              <w:t>Product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-49</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Grant and contract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-86</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(1,617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-69</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23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2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59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-19</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61</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-83</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Armor exit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Reduction in force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Grant and contract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pPr>
            <w:r>
              <w:rPr/>
              <w:t>-95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(3,549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(5,327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(6,408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-209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(2,732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-91</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r>
        <w:trPr/>
        <w:tc>
          <w:tcPr>
            <w:tcW w:w="223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22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(8,149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1,180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product revenue decreased $0.2 million, or 59%, compared to the same period in 2024. During the three months ended September 30, 2025, grant and contract revenue decreased $0.4 million, or 87% as compared to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product revenue decreased $0.5 million, or 49%, compared to the same period in 2024. During the nine months ended September 30, 2025, grant and contract revenue decreased $1.1 million, or 86% as compared to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trends and strategic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total revenue for the two periods was primarily due to the Company’s ongoing strategic repositioning away from non-core, low-margin OEM technical manufacturing contracts that did not support long-term profitability. This planned reduction in OEM-related revenue is consistent with our corporate shift toward commercializing proprietary silicon nitride-based biomedical devices, which we believe offer stronger margins, a more defensible competitive position, and better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strategic realignment has led to a decline in reported revenue, we believe it is a necessary step in positioning the Company for sustainable growth. During this transitional period, we continue to invest in the development and regulatory advancement of silicon nitride-based orthopedic and surgical implants, as evidenced by the recently received 510(k) clearance for osteotomy wedges used in foot and ankle fusion procedures. Additionally, we entered into a private label agreement to supply OsseoSculpt™, a next next-generation biologic designed to complement the foot and ankle osteotomy wedges. We began recognizing commercial revenue from OsseoSculpt™ in Q3 2025. We believe that these products will serve as key revenue drivers beginning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 and 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cost of revenue decreased $0.1 million, or 45%, compared to the same period in 2024 primarily due to the decrease in revenue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cost of revenue decreased $0.2 million, or 31%, compared to the same period in 2024 primarily due to the decrease in revenue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research and development expenses increased $0.5 million, or 59%, compared to the same period in 2024, primarily due to an increase in costs related to the Research Agreement (see Note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research and development expenses decreased $0.9 million, or 19%, compared to the same period in 2024, primarily due to a decrease in payroll related costs, patent expenses, prototypes, and outside consulting costs, partially offset by an increase in costs related to the Research Agreement (see Note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general and administrative expenses increased $1.3 million, or 162%, compared to the same period in 2024, primarily due to increased stock-based compensation and other headcount related costs, partially offset by lower legal expenses and outside consulting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general and administrative expenses increased $1.8 million, or 61%, compared to the same period in 2024, primarily due to increased stock-based compensation and other headcount related costs, and fees paid to departing members of the board of directors, partially offset by lower legal expenses and outside consulting costs.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sales and marketing expenses remained consistent compared to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sales and marketing expenses decreased $0.5 million, or 83%, compared to the same period in 2024, primarily due to an overall decrease in payroll 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Armor Exit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Armor exit costs decreased $4.5 million, or 100%, as compared to the same period in 2024 due to asset impairment costs at the SINTX Armor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Reduction in Force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reduction in force expenses decreased $0.4 million, or 100%, as compared to the same period in 2024 due to payroll expenses related to severance and accrued vacation payouts.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and contract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grant and contract expenses decreased $0.4 million, or 95%, compared to the same period in 2024, primarily due to the decrease in grant and contract revenue associated with the sale of the TA&amp;T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grant and contract expenses decreased $0.9 million, or 89%, compared to the same period in 2024, primarily due to the decrease in grant and contract revenue associated with the sale of the TA&amp;T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other income decreased $0.4 million, or 209%, compared to the same period in 2024, primarily due to a $0.4 million decrease in the change in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other income decreased $2.7 million, or 91%, compared to the same period in 2024, primarily due to a $3.1 million decrease in the change in value of derivative liabilities, partially offset by a $0.3 million gain on disposal of property and equipment associated with SINTX Armor, and a $0.1 million increase in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we will continue to operate as a going concern, which contemplates the realization of assets and settlement of liabilities in the normal course of business, and does not include any adjustments to reflect the possible future effects on the recoverability and classification of assets or the amounts and classifications of liabilities that may result from uncertainty related to our ability to continue as a going concern within one year from the date of issuance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and 2024, we incurred a net loss of $8.1 million and $9.3 million, respectively, and used cash in operating activities of $6.2 million and $7.5 million, respectively. We had an accumulated deficit of $290 million and $282 million as of September 30, 2025, and December 31, 2024, respectively. We will require substantial future capital in order to continue operating our business, conduct research and development and regulatory clearance and approval activities necessary to bring our products to market, and to establish effective marketing and sales capabilities. Our existing capital resources may not be sufficient to enable us to fund the completion of the development and commercialization of all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operations have been principally financed from proceeds from the issuance of preferred and common stock and, to a lesser extent, cash generated from product sales. We expect that we will continue to generate operating losses and use cash in operations. Our continuation as a going concern is dependent upon its ability to increase sales, decrease expenses and raise additional funding. It is uncertain when, if ever, we will attain profitability and positive cash flows from operations or obtain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opportunities to raise additional funding through equity and/or debt financing. However, such funding is not guaranteed and may not be available on favorable terms and may involve restrictive covenants. Any additional equity financing, if available, will most likely be dilutive to its current stockholders. If we are not able to obtain additional debt or equity financing, the impact on our company and business will be material and adverse.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together with management, remains focused on advancing our business strategy and focus. Our strategic emphasis is focused on utilizing our technology in making advancements in the biomedical sector. Historically engaged in both industrial and biomedical applications, we have prioritized the development and commercialization of innovative medical devices, leveraging its expertise in advanced ceramics and biomaterials. This renewed focus aligns with a commitment to improving patient outcomes through the creation of products designed for surgical, orthopedic, and other specialized medical applications. We are concentrating our resources on high-growth areas within the healthcare sector where our proprietary materials and technologies—such as silicon nitride—provide a distinct competitive advantage due to their unique strength, durability, and biocompatibility.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transformation, as demonstrated by the recent FDA 510(k) clearance of our SiNAPTIC® Foot &amp; Ankle Osteotomy Wedge System, our aim is to deliver meaningful innovations to the medical community. Our current research and development pipeline is centered on medical-grade devices that incorporate antimicrobial properties, enhanced imaging capabilities, and durability under physiological conditions, which are critical for orthopedic implants, spinal fusion devices, and other surgical tools. As we transition our focus away from industrial applications, we anticipate this strategic shift will enable us to better serve the medical sector, address critical unmet needs, and position SINTX as a leading provider in the medical device market. By focusing on partnerships and collaborations with healthcare institutions and industry leaders, we believe that we are positioned to expand our footprint in the medical device sector and drive shareholder value through sustainable, high-impact innovations.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2024, the board of directors approved a plan to implement a Company-wide reduction in the workforce. This decision was part of an ongoing strategic review of our operations aimed at improving operational efficiency and reducing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board of directors approved a plan to cease efforts to make the armor plant operational. This decision was made to streamline operations and focus on core business areas that align with our long-term strategic goals. The armor plant had not been fully operational since the acquisition of the armor equipment in July 2021 and had been completely shut down since October 2023 due to the malfunctioning of the sintering furnace. In connection with this decision, we incurred an impairment charge of approximately $4.6 million during the year ended December 31, 2024. This charge primarily relates to the write-down of certain long-lived assets associated with the armor plant to their estimated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to the condensed consolidated financial statements, on February 19, 2025, we entered into an Entity Acquisition Agreement (the “Agreement”) with Tethon Corporation (“Tethon”), pursuant to which the Company sold to Tethon all of the issued and outstanding shares of TA&amp;T in exchange for the assumption by Tethon of the outstanding liabilities of TA&amp;T.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condensed consolidated financial statements, in October 2025, we received FDA 510(k) clearance for a new foot and ankle osteotomy wedge system, enabling SINTX’s commercial entry into reconstructive foot and ankle surgery in the United States. Revenue is expected to begin during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14 to the condensed consolidated financial statements, in October 2025, we entered into the 2025 ATM Agreement to sell shares of its common stock from time to time, through an “at the market offering” program, having an aggregate offering price of $6,413,876 was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12 to the condensed consolidated financial statements, in October 2025, we entered into a sublease agreement to lease the SINTX armor facility, that is expected to save the Company approximately $950,000 over the sublease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based on our existing capital resources and funds generated by our operations, there is no significant uncertainty of the Company’s ability to continue as a going concern through at least November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the periods indicated, cash flows from operating, investing and financing activities (in thousands) – unaudited:</w:t>
      </w:r>
    </w:p>
    <w:p>
      <w:pPr>
        <w:pStyle w:val="TextBody"/>
        <w:bidi w:val="0"/>
        <w:spacing w:before="0" w:after="0"/>
        <w:ind w:left="0" w:right="0" w:hanging="0"/>
        <w:jc w:val="both"/>
        <w:rPr>
          <w:caps w:val="false"/>
          <w:smallCaps w:val="false"/>
        </w:rPr>
      </w:pPr>
      <w:r>
        <w:rPr>
          <w:caps w:val="false"/>
          <w:smallCaps w:val="false"/>
        </w:rPr>
        <w:t> </w:t>
      </w:r>
    </w:p>
    <w:tbl>
      <w:tblPr>
        <w:tblW w:w="8503" w:type="dxa"/>
        <w:jc w:val="left"/>
        <w:tblInd w:w="0" w:type="dxa"/>
        <w:tblLayout w:type="fixed"/>
        <w:tblCellMar>
          <w:top w:w="0" w:type="dxa"/>
          <w:left w:w="0" w:type="dxa"/>
          <w:bottom w:w="0" w:type="dxa"/>
          <w:right w:w="0" w:type="dxa"/>
        </w:tblCellMar>
      </w:tblPr>
      <w:tblGrid>
        <w:gridCol w:w="4745"/>
        <w:gridCol w:w="60"/>
        <w:gridCol w:w="294"/>
        <w:gridCol w:w="1337"/>
        <w:gridCol w:w="200"/>
        <w:gridCol w:w="126"/>
        <w:gridCol w:w="294"/>
        <w:gridCol w:w="1337"/>
        <w:gridCol w:w="11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(6,227</w:t>
            </w:r>
          </w:p>
        </w:tc>
        <w:tc>
          <w:tcPr>
            <w:tcW w:w="200"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(7,518</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955</w:t>
            </w:r>
          </w:p>
        </w:tc>
        <w:tc>
          <w:tcPr>
            <w:tcW w:w="20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(204</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7,924</w:t>
            </w:r>
          </w:p>
        </w:tc>
        <w:tc>
          <w:tcPr>
            <w:tcW w:w="20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9,196</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2,652</w:t>
            </w:r>
          </w:p>
        </w:tc>
        <w:tc>
          <w:tcPr>
            <w:tcW w:w="20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1,474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$6.2 million during the nine months ended September 30, 2025, compared to $7.5 million used during the nine months ended September 30, 2024, a decrease of $1.3 million. Decrease in net loss of $1.2 million, combined with an increase in accounts payables and other liabilities of $1.0 million, contributed positively to our net cash used in operating activities, partially offset by a decrease in adjustments of non-cash items of $0.5 million, and increases in accounts receivable of $0.4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$1.0 million during the nine months ended September 30, 2025, compared to net cash used in investing activities of $0.2 million during the nine months ended September 30, 2024, an increase of $1.2 million. The increase in cash provided by investing activities during 2025 was primarily due to $0.8 million in proceeds from the acquisition of Sinaptic Surgical (see Note 3), $0.4 million decrease in purchase of property and equipment and $0.3 million increase in proceeds from the sale of property and equipment, partially offset by a $0.3 million decrease in proceeds from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$7.9 million during the nine months ended September 30, 2025, compared to $9.2 million provided during the same period in 2024. The $1.3 million decrease to net cash provided by financing activities was primarily attributable to a decrease in proceeds from issuance of warrant derivative liabilities of $3.4 million, decrease in proceeds from issuance of common stock and prefunded warrants of $1.7 million, and repurchases of common stock into treasury of $0.1 million, partially offset by increases in proceeds from the exercise of warrants, net of cash fees, and deposit for stock issuance (in other current liabilities) of $3.6 million, and proceeds from issuance of warrants in connection with exercise of warrants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Indebtedness may be found in Note 8 to the condensed consolidated financial statements included in Item 1 of Part 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defined in Item 303(a)(4)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significant accounting policies and estimates is discussed in Management’s Discussion and Analysis of Financial Condition and Results of Operations and in Note 1 to our consolidated financial statements included in our Annual Report on Form 10-K for the year ended December 31, 2024. There have been no material changes to those policies for the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Recent Accounting Pronouncements may be found in Note 1 to the condensed consolidated financial statements included in Item 1 of Part I of this report.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685" w:name="a_007"/>
      <w:bookmarkEnd w:id="68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6" w:name="a_008"/>
      <w:bookmarkEnd w:id="68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the certifications of our Chief Executive Officer (Principal Executive Officer) and Chief Financial Officer (Principal Financial and Accounting Officer)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such term is defined in Rules 13a-15(e) and 15d-15(e) of the Securities Exchange Act of 1934 (the “Exchange Act”), that are designed to ensure that information required to be disclosed in the reports filed or submitted under the Exchange Act, is recorded, processed, summarized, and reported within the time periods specified by the Commission’s rules and forms. Disclosure controls and procedures include controls and procedures designed to ensure that information required to be disclosed in our reports filed or submitted under the Exchange Act are properly recorded, processed, summarized and reported within the time periods required by the Commission’s rules and 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carried out an evaluation, under the supervision and with the participation of our management, including our Chief Executive Officer (Principal Executive Officer) and Chief Financial Officer (Principal Financial and Accounting Officer), of the effectiveness of the design and operation of these disclosure controls and procedures, as such term is defined in Exchange Act Rule 13a-15(e), as of September 30, 2025. Based on this evaluation, the Chief Executive Officer and Chief Financial Officer concluded that our disclosure controls and procedures were effective as of September 30, 2025, the end of the period covered by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third quarter of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7" w:name="a_009"/>
      <w:bookmarkEnd w:id="687"/>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8" w:name="a_010"/>
      <w:bookmarkEnd w:id="68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pending or threatened legal proceeding against us that could have a material adverse effect on our business, operating results or financial condition. The medical device industry is characterized by frequent claims and litigation, including claims regarding patent and other intellectual property rights as well as improper hiring practices. As a result, we may be involved in various legal proceedings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89" w:name="a_011"/>
      <w:bookmarkEnd w:id="689"/>
      <w:r>
        <w:rPr>
          <w:rFonts w:ascii="Times New Roman;Times;Serif" w:hAnsi="Times New Roman;Times;Serif"/>
          <w:b/>
          <w:i w:val="false"/>
          <w:caps/>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risk factors appears in Item 1A of our Annual Report on Form 10-K for the year ended December 31, 2024, which was filed with the SEC on March 19, 2025. There have been no material changes from the risk factors previously disclosed in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0" w:name="a_012"/>
      <w:bookmarkEnd w:id="69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announced that its board of directors authorized a share repurchase program that would allow the Company to repurchase up to $500,000 of the Company’s outstanding common stock. The extent to which the Company repurchases its shares, and the timing of such repurchases, will depend upon a variety of factors, including trading volume, market conditions, legal requirements, business conditions and other factors. The repurchase program may be discontinued at any time, and the program does not obligate the Company to acquire any specific number of shares of its common stock. There were no repurchases of shares under the share repurchase program during the third quarter 2025. As of September 30, 2025, the maximum dollar value of shares that may yet be purchased under the program was $366,935.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1" w:name="a_013"/>
      <w:bookmarkEnd w:id="69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2" w:name="a_014"/>
      <w:bookmarkEnd w:id="69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3" w:name="a_015"/>
      <w:bookmarkEnd w:id="69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4" w:name="a_016"/>
      <w:bookmarkEnd w:id="69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
        <w:gridCol w:w="60"/>
        <w:gridCol w:w="5344"/>
        <w:gridCol w:w="60"/>
        <w:gridCol w:w="800"/>
        <w:gridCol w:w="60"/>
        <w:gridCol w:w="1494"/>
        <w:gridCol w:w="60"/>
        <w:gridCol w:w="641"/>
        <w:gridCol w:w="60"/>
        <w:gridCol w:w="874"/>
      </w:tblGrid>
      <w:tr>
        <w:trPr/>
        <w:tc>
          <w:tcPr>
            <w:tcW w:w="75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4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br/>
              <w:t>Herewith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w:t>
              <w:br/>
              <w:t>by Reference</w:t>
              <w:br/>
              <w:t>herein from</w:t>
              <w:br/>
              <w:t>Form or</w:t>
              <w:br/>
              <w:t>Schedule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br/>
              <w:t>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w:t>
              <w:br/>
              <w:t>Number</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 Form 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06/27/25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Inducement Letter</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 Form 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09/09/25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New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 Form 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09/09/25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10.3, Form 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09/09/25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Additional Placement Agent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 Form 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09/09/25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SINTX Technologies, Inc. 2025 Equity Incentive Plan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 Form S-8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333-290629</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At The Market Offering Agreement, dated October 3, 2025, by and between the Company and H.C. Wainwright &amp; Co., LLC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 Form 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Certificate of the Chief Executive Officer pursuant to Section 302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Certificate of the Principal Financial Officer pursuant to Section 302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the Chief Executive Officer pursuant to Section 906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the Chief Financial Officer pursuant to Section 906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5" w:name="a_017"/>
      <w:bookmarkEnd w:id="69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515"/>
        <w:gridCol w:w="1625"/>
        <w:gridCol w:w="2300"/>
      </w:tblGrid>
      <w:tr>
        <w:trPr/>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696" w:name="ex31-1.htm"/>
      <w:bookmarkStart w:id="697" w:name="ksex311"/>
      <w:bookmarkEnd w:id="696"/>
      <w:bookmarkEnd w:id="69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Eric Olson,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SINTX Technologies,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470"/>
        <w:gridCol w:w="1625"/>
        <w:gridCol w:w="320"/>
        <w:gridCol w:w="236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698" w:name="ex31-2.htm"/>
      <w:bookmarkStart w:id="699" w:name="ksex312"/>
      <w:bookmarkEnd w:id="698"/>
      <w:bookmarkEnd w:id="69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Kevin Trask,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SINTX Technologies,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0"/>
        <w:gridCol w:w="1625"/>
        <w:gridCol w:w="320"/>
        <w:gridCol w:w="230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00" w:name="ex32-1.htm"/>
      <w:bookmarkStart w:id="701" w:name="ksex321"/>
      <w:bookmarkEnd w:id="700"/>
      <w:bookmarkEnd w:id="70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UNDER SECTION 906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each of the undersigned officers of SINTX Technologies, Inc., a Delaware corporation (the “Company”), does hereby certify, to such officer’s knowledge,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470"/>
        <w:gridCol w:w="1625"/>
        <w:gridCol w:w="320"/>
        <w:gridCol w:w="236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02" w:name="ex32-2.htm"/>
      <w:bookmarkStart w:id="703" w:name="ksex322"/>
      <w:bookmarkEnd w:id="702"/>
      <w:bookmarkEnd w:id="70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UNDER SECTION 906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each of the undersigned officers of SINTX Technologies, Inc., a Delaware corporation (the “Company”), does hereby certify, to such officer’s knowledge,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70"/>
        <w:gridCol w:w="1625"/>
        <w:gridCol w:w="320"/>
        <w:gridCol w:w="230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9026/000164117225016891/ex4-1.htm" TargetMode="External"/><Relationship Id="rId3" Type="http://schemas.openxmlformats.org/officeDocument/2006/relationships/hyperlink" Target="https://www.sec.gov/Archives/edgar/data/1269026/000149315225012834/ex10-1.htm" TargetMode="External"/><Relationship Id="rId4" Type="http://schemas.openxmlformats.org/officeDocument/2006/relationships/hyperlink" Target="https://www.sec.gov/Archives/edgar/data/1269026/000149315225012834/ex10-2.htm" TargetMode="External"/><Relationship Id="rId5" Type="http://schemas.openxmlformats.org/officeDocument/2006/relationships/hyperlink" Target="https://www.sec.gov/Archives/edgar/data/1269026/000149315225012834/ex10-3.htm" TargetMode="External"/><Relationship Id="rId6" Type="http://schemas.openxmlformats.org/officeDocument/2006/relationships/hyperlink" Target="https://www.sec.gov/Archives/edgar/data/1269026/000149315225012834/ex10-4.htm" TargetMode="External"/><Relationship Id="rId7" Type="http://schemas.openxmlformats.org/officeDocument/2006/relationships/hyperlink" Target="https://www.sec.gov/Archives/edgar/data/1269026/000149315225016345/ex10-1.htm" TargetMode="External"/><Relationship Id="rId8" Type="http://schemas.openxmlformats.org/officeDocument/2006/relationships/hyperlink" Target="https://www.sec.gov/Archives/edgar/data/1269026/000149315225016904/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15582</Words>
  <Characters>83601</Characters>
  <CharactersWithSpaces>101082</CharactersWithSpaces>
  <Paragraphs>6664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