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511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November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5"/>
      <w:bookmarkEnd w:id="4"/>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51113"/>
            <w:bookmarkEnd w:id="6"/>
            <w:r>
              <w:rPr>
                <w:rFonts w:ascii="Times New Roman;Times;Serif" w:hAnsi="Times New Roman;Times;Serif"/>
                <w:b/>
                <w:i w:val="false"/>
                <w:caps w:val="false"/>
                <w:smallCaps w:val="false"/>
                <w:sz w:val="20"/>
              </w:rPr>
              <w:t>001-33624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84-1375299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1885 West 2100 South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Salt Lake City, </w:t>
            </w:r>
            <w:bookmarkStart w:id="10" w:name="xdx_905_edei--EntityAddressStateOrProvin"/>
            <w:bookmarkEnd w:id="10"/>
            <w:r>
              <w:rPr>
                <w:rFonts w:ascii="Times New Roman;Times;Serif" w:hAnsi="Times New Roman;Times;Serif"/>
                <w:b/>
                <w:i w:val="false"/>
                <w:caps w:val="false"/>
                <w:smallCaps w:val="false"/>
                <w:sz w:val="20"/>
              </w:rPr>
              <w:t>UT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AddressPostalZipCode"/>
            <w:bookmarkEnd w:id="11"/>
            <w:r>
              <w:rPr>
                <w:rFonts w:ascii="Times New Roman;Times;Serif" w:hAnsi="Times New Roman;Times;Serif"/>
                <w:b/>
                <w:i w:val="false"/>
                <w:caps w:val="false"/>
                <w:smallCaps w:val="false"/>
                <w:sz w:val="20"/>
              </w:rPr>
              <w:t>84119</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1_edei--CityAreaCode_c20251113__20"/>
      <w:bookmarkEnd w:id="12"/>
      <w:r>
        <w:rPr>
          <w:rFonts w:ascii="Times New Roman;Times;Serif" w:hAnsi="Times New Roman;Times;Serif"/>
          <w:b/>
          <w:i w:val="false"/>
          <w:caps w:val="false"/>
          <w:smallCaps w:val="false"/>
          <w:sz w:val="20"/>
        </w:rPr>
        <w:t xml:space="preserve">(801) </w:t>
      </w:r>
      <w:bookmarkStart w:id="13" w:name="xdx_90F_edei--LocalPhoneNumber_c20251113"/>
      <w:bookmarkEnd w:id="13"/>
      <w:r>
        <w:rPr>
          <w:rFonts w:ascii="Times New Roman;Times;Serif" w:hAnsi="Times New Roman;Times;Serif"/>
          <w:b/>
          <w:i w:val="false"/>
          <w:caps w:val="false"/>
          <w:smallCaps w:val="false"/>
          <w:sz w:val="20"/>
        </w:rPr>
        <w:t>839-3500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1_edei--SolicitingMaterial_c202511"/>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6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410"/>
        <w:gridCol w:w="60"/>
        <w:gridCol w:w="1670"/>
        <w:gridCol w:w="60"/>
        <w:gridCol w:w="377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Security12bTitle_c20251113"/>
            <w:bookmarkEnd w:id="18"/>
            <w:r>
              <w:rPr>
                <w:rFonts w:ascii="Times New Roman;Times;Serif" w:hAnsi="Times New Roman;Times;Serif"/>
                <w:b w:val="false"/>
                <w:i w:val="false"/>
                <w:caps w:val="false"/>
                <w:smallCaps w:val="false"/>
                <w:sz w:val="20"/>
              </w:rPr>
              <w:t>Common Stock, par value $0.01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51113__2"/>
            <w:bookmarkEnd w:id="19"/>
            <w:r>
              <w:rPr>
                <w:rFonts w:ascii="Times New Roman;Times;Serif" w:hAnsi="Times New Roman;Times;Serif"/>
                <w:b w:val="false"/>
                <w:i w:val="false"/>
                <w:caps w:val="false"/>
                <w:smallCaps w:val="false"/>
                <w:sz w:val="20"/>
              </w:rPr>
              <w:t>SINT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3_edei--SecurityExchangeName_c2025"/>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SINTX Technologies, Inc. (the “Company”) issued a press release announcing financial results for its quarter ended September 30, 2025. The full text of the press release, which includes information regarding the Company’s use of a non-GAAP financial measure, is furnished as Exhibit 99.1 to this 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Exhibit 99.1 attached hereto, is being furnished and shall not be deemed to be “filed” for the purposes of Section 18 of the Securities Exchange Act of 1934, or otherwise subject to the liabilities of that section. Furthermore, the information contained in this Item 2.02 or Exhibit 99.1 shall not be deemed to be incorporated by reference into any registration statement or other document filed pursuant to the Securities Act of 1933, except as shall be expressly set forth by specific reference in such filing.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2.02 is incorporated by reference as if fully set forth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center"/>
        <w:rPr>
          <w:caps w:val="false"/>
          <w:smallCaps w:val="false"/>
        </w:rPr>
      </w:pPr>
      <w:r>
        <w:rPr>
          <w:caps w:val="false"/>
          <w:smallCaps w:val="false"/>
        </w:rPr>
        <w:t> </w:t>
      </w:r>
    </w:p>
    <w:tbl>
      <w:tblPr>
        <w:tblW w:w="7660" w:type="dxa"/>
        <w:jc w:val="left"/>
        <w:tblInd w:w="0" w:type="dxa"/>
        <w:tblLayout w:type="fixed"/>
        <w:tblCellMar>
          <w:top w:w="0" w:type="dxa"/>
          <w:left w:w="0" w:type="dxa"/>
          <w:bottom w:w="28" w:type="dxa"/>
          <w:right w:w="0" w:type="dxa"/>
        </w:tblCellMar>
      </w:tblPr>
      <w:tblGrid>
        <w:gridCol w:w="1025"/>
        <w:gridCol w:w="90"/>
        <w:gridCol w:w="6545"/>
      </w:tblGrid>
      <w:tr>
        <w:trPr/>
        <w:tc>
          <w:tcPr>
            <w:tcW w:w="10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65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0" w:type="dxa"/>
            <w:tcBorders/>
            <w:tcMar>
              <w:bottom w:w="0" w:type="dxa"/>
            </w:tcMar>
            <w:vAlign w:val="center"/>
          </w:tcPr>
          <w:p>
            <w:pPr>
              <w:pStyle w:val="TableContents"/>
              <w:bidi w:val="0"/>
              <w:spacing w:before="0" w:after="283"/>
              <w:jc w:val="left"/>
              <w:rPr/>
            </w:pPr>
            <w:r>
              <w:rPr/>
              <w:t> </w:t>
            </w:r>
          </w:p>
        </w:tc>
        <w:tc>
          <w:tcPr>
            <w:tcW w:w="654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 xml:space="preserve">Press Release, dated November 13, 2025 </w:t>
              </w:r>
            </w:hyperlink>
          </w:p>
        </w:tc>
      </w:tr>
      <w:tr>
        <w:trPr/>
        <w:tc>
          <w:tcPr>
            <w:tcW w:w="10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tcMar>
              <w:bottom w:w="0" w:type="dxa"/>
            </w:tcMar>
            <w:vAlign w:val="center"/>
          </w:tcPr>
          <w:p>
            <w:pPr>
              <w:pStyle w:val="TableContents"/>
              <w:bidi w:val="0"/>
              <w:spacing w:before="0" w:after="283"/>
              <w:jc w:val="left"/>
              <w:rPr/>
            </w:pPr>
            <w:r>
              <w:rPr/>
              <w:t> </w:t>
            </w:r>
          </w:p>
        </w:tc>
        <w:tc>
          <w:tcPr>
            <w:tcW w:w="6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120"/>
        <w:gridCol w:w="309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13, 2025</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3765"/>
        <w:gridCol w:w="60"/>
        <w:gridCol w:w="3765"/>
      </w:tblGrid>
      <w:tr>
        <w:trPr/>
        <w:tc>
          <w:tcPr>
            <w:tcW w:w="3765" w:type="dxa"/>
            <w:tcBorders/>
            <w:vAlign w:val="center"/>
          </w:tcPr>
          <w:p>
            <w:pPr>
              <w:pStyle w:val="TableContents"/>
              <w:bidi w:val="0"/>
              <w:spacing w:before="0" w:after="283"/>
              <w:jc w:val="left"/>
              <w:rPr/>
            </w:pPr>
            <w:r>
              <w:rPr/>
              <w:drawing>
                <wp:inline distT="0" distB="0" distL="0" distR="0">
                  <wp:extent cx="23812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33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765" w:type="dxa"/>
            <w:tcBorders/>
            <w:vAlign w:val="center"/>
          </w:tcPr>
          <w:p>
            <w:pPr>
              <w:pStyle w:val="TableContents"/>
              <w:bidi w:val="0"/>
              <w:spacing w:before="0" w:after="283"/>
              <w:jc w:val="left"/>
              <w:rPr/>
            </w:pPr>
            <w:r>
              <w:rPr/>
              <w:drawing>
                <wp:inline distT="0" distB="0" distL="0" distR="0">
                  <wp:extent cx="23812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285750"/>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Reports Pivotal Third Quarter Business Update and Financial Highlights Driven by FDA Clearance, Product and IP Portfolio Expansions and Increased Operational Efficiencies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Company underscores its strengthened liquidity, cost reductions, and first revenue recorded from OsseoSculpt™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SALT LAKE CITY, Utah – November 13, 2025 – SINTX Technologies, Inc.</w:t>
      </w:r>
      <w:r>
        <w:rPr>
          <w:rFonts w:ascii="Times New Roman;Times;Serif" w:hAnsi="Times New Roman;Times;Serif"/>
          <w:b w:val="false"/>
          <w:i w:val="false"/>
          <w:caps w:val="false"/>
          <w:smallCaps w:val="false"/>
          <w:sz w:val="20"/>
        </w:rPr>
        <w:t xml:space="preserve"> (NASDAQ: SINT) (“SINTX” or the “Company”), an advanced ceramics and biomaterials company focused on silicon-nitride–based medical technologies, today provided a business update reporting third quarter financial results in conjunction with the filing the Company’s Form 10-Q for the quarter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third quarter and subsequent weeks, SINTX advanced a focused commercialization plan centered on infection-resistant silicon nitride devices and polymer composites, while tightening its operating footprint and strengthening its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Highlights and Key Milestones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510(k) Clearance: Received U.S. FDA clearance for the SINAPTIC® Foot &amp; Ankle Osteotomy Wedge System, enabling SINTX’s commercial entry into reconstructive foot and ankle surgery in the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Product Revenue: Recorded first commercial revenue from the private-labeled orthobiologic product OsseoSculpt™, a companion biologic to the SINAPTIC wedge portfolio.</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 Optimization: Executed a sublease of the Armor facility, estimated to save up to approximately $950,000 in lease costs over the sublease term, further aligning operating resources with its medical device priorities.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Broadened IP Portfolio: United States Patent and Trademark Office (USPTO) issued Notice of Allowance for patent application containing method claims covering the Company’s antipathogenic fabric technology.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Strengthened Liquidity: Raised an additional $4.3 million in gross proceeds through warrant inducement and common stock warrant exercises.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Results:</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were $6.25 million on September 30, 2025, compared with $3.60 million on December 31, 2024, reflecting financing activity and disciplined working-capital management.</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of $0.2 million, a decrease as compared to $0.8 million in Q3 2024, primarily related to a reduction in grant revenue recognized compared to the prior period.</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of approximately $3.4 million, a decrease of 51% year-over-year.</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of $3.4 million compared to $6.4 million in Q3 2024.</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$3.5 million, representing a loss of $1.19 per fully diluted share, compared to net loss of $6.2 million representing a loss of $6.96 per fully diluted share in Q3 2024.</w:t>
            </w:r>
          </w:p>
        </w:tc>
      </w:tr>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 of $2.3 million in Q3 2025 compared to $6.1 million in Q3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aligned SINTX squarely behind near-term commercial milestones with our advanced biomaterial products,” said Eric Olson, President and CEO of SINTX. “The 510(k) clearance for our SINAPTIC foot &amp; ankle wedge system represents a pivotal milestone that validates our technology and establishes a scalable platform for future growth. We believe the decisive actions we have taken to monetize non-core assets, streamline facilities, and maintain prudent access to capital position the Company to execute this strategy effectively. The Company remains focused on advancing clinical leadership into sustainable product revenue opportunities, while building broader commercial utilization around silicon nitride’s unique clinical advantages.”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SINTX’s near-term priorities include: (i) preparing the SINAPTIC wedge system for launch; (ii) expanding clinical and key opinion leader (KOL) engagement in targeted surgical specialties; and (iii) leveraging its material science into adjacent indications — including polymer composites for 3D printed custom and patient specific implants — where silicon nitride’s antipathogenic and bone-affinity attributes can be most impactful. Management also intends to continue evaluating partnering, licensing, and capital formation options that we believe will accelerate market access and enhance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on SINTX Technologies or its materials platform, </w:t>
      </w:r>
      <w:r>
        <w:rPr>
          <w:rFonts w:ascii="Times New Roman;Times;Serif" w:hAnsi="Times New Roman;Times;Serif"/>
          <w:b w:val="false"/>
          <w:i w:val="false"/>
          <w:caps w:val="false"/>
          <w:smallCaps w:val="false"/>
          <w:sz w:val="20"/>
          <w:u w:val="single"/>
        </w:rPr>
        <w:t>visit www.sintx.com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SINTX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Salt Lake City, Utah, SINTX Technologies, Inc. (NASDAQ: SINT) is an advanced ceramics company that develops, manufactures, and commercializes silicon nitride biomaterials, composites, devices, and related technologies for medical and other high-value applications. With thousands of medical devices implanted since 2008 and nearly two decades of peer-reviewed research, SINTX has established itself as a leader in high-performance biomaterials that enhance clinical outcomes and patient safety. Supported by a strong patent portfolio, U.S.-based manufacturing, and strategic industry partnerships, the company continues to expand its technology platform through innovation and market diversification, including the recently FDA-cleared SINAPTIC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Foot &amp; Ankle Osteotomy Wedge System for reconstructive surgery.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press release contains adjusted EBITDA, which is a non-GAAP measure defined as net income excluding depreciation and amortization, income tax (benefit) expense, net interest (income) expense, stock-based compensation, change in fair value of contingent consideration, realized gain (loss) on investments, and (gain) loss on disposition of assets. The Company believes that adjusted EBITDA provides useful information to management and investors relating to its results of operations. The Company’s management uses this non-GAAP measure to compare the Company’s performance to that of prior periods for trend analyses, and for budgeting and planning purposes. The Company believes that the use of adjusted EBITDA provides an additional tool for investors to use in evaluating ongoing operating results and trends and in comparing the Company’s financial measures with other companies, many of which present similar non-GAAP financial measures to investors, and that it allows for greater transparency with respect to key metrics used by management in its financial and operational decision-making. Adjusted EBITDA may differ from similarly titled measures used by other companies and should not be considered in isolation or as a substitute for measures of financial performance prepared in accordance with GAAP. Management uses Adjusted EBITDA solely as a supplemental tool to evaluate operating performance and for internal budgeting and planning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does not consider the non-GAAP measure in isolation or as an alternative to financial measures determined in accordance with GAAP. The principal limitation of the non-GAAP financial measure is that it excludes significant expenses that are required by GAAP to be recorded in the Company’s financial statements. In order to compensate for these limitations, management presents the non-GAAP financial measure together with GAAP results. Non-GAAP measures should be considered in addition to results prepared in accordance with GAAP, but should not be considered a substitute for, or superior to, GAAP results. A reconciliation table of the net income, the most comparable GAAP financial measure to adjusted EBITDA, is included at the end of this release. The Company urges investors to review the reconciliation and not to rely on any single financial measure to evaluate the company’s business.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statements in this release constitute “forward-looking statements” within the meaning of the Private Securities Litigation Reform Act of 1995, including, without limitation, statements regarding SINTX Technologies’ commercialization plans and expected timing for the SINAPTIC Foot &amp; Ankle Osteotomy Wedge System; potential surgeon adoption, clinical engagement, and commercial performance; anticipated benefits of facility optimization and financing activities; and the Company’s expectations regarding market opportunities, product development, and shareholder value creation. Forward-looking statements are based on current expectations, estimates, and projections about future events and are often identified by words such as “may,” “will,” “could,” “should,” “would,” “expect,” “plan,” “anticipate,” “intend,” “believe,” “estimate,” “project,” “target,” “seek,” “continue,” and similar expressions. Plans and projections are subject to change based on market conditions, regulatory developments, and other factors beyond the Company’s control. These statements involve risks and uncertainties that could cause actual results to differ materially from those expressed or implied, including, among others, risks related to commercialization execution, surgeon training and utilization, market acceptance, manufacturing scale-up, supply chain constraints, pricing and reimbursement, competitive products, intellectual property protection, integration of business operations, macroeconomic conditions, and reliance on third-party market estimates. FDA 510(k) clearance does not assure commercial success, and any discussion of potential infection-prevention or bone-affinity attributes of silicon nitride reflects materials-level research and is not part of the cleared indications for this product. Additional risks and uncertainties are described in SINTX’s filings with the Securities and Exchange Commission, including its most recent Annual Report on Form 10-K and Quarterly Reports on Form 10-Q, available at www.sec.gov. Forward-looking statements speak only as of the date of this release, and SINTX undertakes no obligation to update them,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Perkins or Maria Hocut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Sintx@kcsa.com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801.839.3502</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IR@sintx.com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8"/>
        <w:gridCol w:w="60"/>
        <w:gridCol w:w="168"/>
        <w:gridCol w:w="1062"/>
        <w:gridCol w:w="95"/>
        <w:gridCol w:w="60"/>
        <w:gridCol w:w="163"/>
        <w:gridCol w:w="1027"/>
        <w:gridCol w:w="112"/>
      </w:tblGrid>
      <w:tr>
        <w:trPr/>
        <w:tc>
          <w:tcPr>
            <w:tcW w:w="7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2" w:type="dxa"/>
            <w:tcBorders/>
            <w:vAlign w:val="center"/>
          </w:tcPr>
          <w:p>
            <w:pPr>
              <w:pStyle w:val="TableContents"/>
              <w:bidi w:val="0"/>
              <w:spacing w:before="0" w:after="283"/>
              <w:jc w:val="left"/>
              <w:rPr/>
            </w:pPr>
            <w:r>
              <w:rPr/>
              <w:t> </w:t>
            </w:r>
          </w:p>
        </w:tc>
      </w:tr>
      <w:tr>
        <w:trPr/>
        <w:tc>
          <w:tcPr>
            <w:tcW w:w="7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6,250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3,598</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Account and other receivables, net of allowance for credit losses of $4.2 and $61.0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196</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475</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502</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7,394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4,771</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465</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922</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3,159</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80</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CCEEFF" w:val="clear"/>
            <w:tcMar>
              <w:bottom w:w="28" w:type="dxa"/>
            </w:tcMar>
            <w:vAlign w:val="center"/>
          </w:tcPr>
          <w:p>
            <w:pPr>
              <w:pStyle w:val="TableContents"/>
              <w:bidi w:val="0"/>
              <w:spacing w:before="0" w:after="283"/>
              <w:jc w:val="right"/>
              <w:rPr/>
            </w:pPr>
            <w:r>
              <w:rPr/>
              <w:t>11,364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CCEEFF" w:val="clear"/>
            <w:tcMar>
              <w:bottom w:w="28" w:type="dxa"/>
            </w:tcMar>
            <w:vAlign w:val="center"/>
          </w:tcPr>
          <w:p>
            <w:pPr>
              <w:pStyle w:val="TableContents"/>
              <w:bidi w:val="0"/>
              <w:spacing w:before="0" w:after="283"/>
              <w:jc w:val="right"/>
              <w:rPr/>
            </w:pPr>
            <w:r>
              <w:rPr/>
              <w:t>9,413</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299</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986</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Debt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32</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Derivative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208</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456</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4,347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1,982</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3,537</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7,296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5,519</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Convertible preferred stock Series B, $0.01 par value, 130,000,000 total shares authorized inclusive of all series of preferred; 19 shares issued and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Convertible preferred stock Series C, $0.01 par value, 130,000,000 total shares authorized inclusive of all series of preferred; 50 shares issued and outstanding as of September 30, 2025 and December 31, 2024.</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Convertible preferred stock Series D, $0.01 par value, 130,000,000 total shares authorized inclusive of all series of preferred; 180 shares issued and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Common stock, $0.01 par value, 250,000,000 shares authorized; 3,666,280 and 1,342,853 shares issued and 3,615,856 and 1,342,853 outstanding as of September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13</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Treasury Stock, 50,424 shares as of September 30, 2025</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5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294,052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285,619</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pPr>
            <w:r>
              <w:rPr/>
              <w:t>(289,887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FFFFFF" w:val="clear"/>
            <w:tcMar>
              <w:bottom w:w="28" w:type="dxa"/>
            </w:tcMar>
            <w:vAlign w:val="center"/>
          </w:tcPr>
          <w:p>
            <w:pPr>
              <w:pStyle w:val="TableContents"/>
              <w:bidi w:val="0"/>
              <w:spacing w:before="0" w:after="283"/>
              <w:jc w:val="right"/>
              <w:rPr/>
            </w:pPr>
            <w:r>
              <w:rPr/>
              <w:t>(281,738</w:t>
            </w:r>
          </w:p>
        </w:tc>
        <w:tc>
          <w:tcPr>
            <w:tcW w:w="112" w:type="dxa"/>
            <w:tcBorders/>
            <w:shd w:fill="FFFFFF" w:val="clear"/>
            <w:vAlign w:val="center"/>
          </w:tcPr>
          <w:p>
            <w:pPr>
              <w:pStyle w:val="TableContents"/>
              <w:bidi w:val="0"/>
              <w:spacing w:before="0" w:after="283"/>
              <w:jc w:val="left"/>
              <w:rPr/>
            </w:pPr>
            <w:r>
              <w:rPr/>
              <w:t>)</w:t>
            </w:r>
          </w:p>
        </w:tc>
      </w:tr>
      <w:tr>
        <w:trPr/>
        <w:tc>
          <w:tcPr>
            <w:tcW w:w="7458"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pPr>
            <w:r>
              <w:rPr/>
              <w:t>4,068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single" w:sz="8" w:space="0" w:color="000000"/>
            </w:tcBorders>
            <w:shd w:fill="CCEEFF" w:val="clear"/>
            <w:tcMar>
              <w:bottom w:w="28" w:type="dxa"/>
            </w:tcMar>
            <w:vAlign w:val="center"/>
          </w:tcPr>
          <w:p>
            <w:pPr>
              <w:pStyle w:val="TableContents"/>
              <w:bidi w:val="0"/>
              <w:spacing w:before="0" w:after="283"/>
              <w:jc w:val="right"/>
              <w:rPr/>
            </w:pPr>
            <w:r>
              <w:rPr/>
              <w:t>3,894</w:t>
            </w:r>
          </w:p>
        </w:tc>
        <w:tc>
          <w:tcPr>
            <w:tcW w:w="112" w:type="dxa"/>
            <w:tcBorders/>
            <w:shd w:fill="CCEEFF" w:val="clear"/>
            <w:vAlign w:val="center"/>
          </w:tcPr>
          <w:p>
            <w:pPr>
              <w:pStyle w:val="TableContents"/>
              <w:bidi w:val="0"/>
              <w:spacing w:before="0" w:after="283"/>
              <w:jc w:val="left"/>
              <w:rPr/>
            </w:pPr>
            <w:r>
              <w:rPr/>
              <w:t> </w:t>
            </w:r>
          </w:p>
        </w:tc>
      </w:tr>
      <w:tr>
        <w:trPr/>
        <w:tc>
          <w:tcPr>
            <w:tcW w:w="7458"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pPr>
            <w:r>
              <w:rPr/>
              <w:t>11,364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7" w:type="dxa"/>
            <w:tcBorders>
              <w:bottom w:val="double" w:sz="6" w:space="0" w:color="000000"/>
            </w:tcBorders>
            <w:shd w:fill="FFFFFF" w:val="clear"/>
            <w:tcMar>
              <w:bottom w:w="28" w:type="dxa"/>
            </w:tcMar>
            <w:vAlign w:val="center"/>
          </w:tcPr>
          <w:p>
            <w:pPr>
              <w:pStyle w:val="TableContents"/>
              <w:bidi w:val="0"/>
              <w:spacing w:before="0" w:after="283"/>
              <w:jc w:val="right"/>
              <w:rPr/>
            </w:pPr>
            <w:r>
              <w:rPr/>
              <w:t>9,413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Nine Months Ended </w:t>
              <w:br/>
              <w:t>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Product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1,054</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Grant and contract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1,291</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2,345</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Costs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657</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1,688</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4,492</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2,997</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589</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Armor exit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4,457</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Reduction in force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Grant and contract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1,061</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14,003</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(12,315</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Other income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Gain (loss) on disposal of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3,459</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Offering costs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(550</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2,986</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(9,329</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(9,329</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Deemed dividend related to warrant inducement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(14,868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(9,329</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Basic –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(17.30</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Basic – 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Basic –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(17.30</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(19.59</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Diluted – deemed dividend related to warrant inducement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(19.59</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2,963,539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896,305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539,252</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2,963,539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897,323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2,411,179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656,468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GAAP AND NON-GAAP MEASURES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loss to adjusted EBITDA:</w:t>
      </w:r>
    </w:p>
    <w:p>
      <w:pPr>
        <w:pStyle w:val="TextBody"/>
        <w:bidi w:val="0"/>
        <w:spacing w:before="0" w:after="0"/>
        <w:jc w:val="center"/>
        <w:rPr>
          <w:caps w:val="false"/>
          <w:smallCaps w:val="false"/>
        </w:rPr>
      </w:pPr>
      <w:r>
        <w:rPr>
          <w:caps w:val="false"/>
          <w:smallCaps w:val="false"/>
        </w:rPr>
        <w:t> </w:t>
      </w:r>
    </w:p>
    <w:tbl>
      <w:tblPr>
        <w:tblW w:w="7992" w:type="dxa"/>
        <w:jc w:val="left"/>
        <w:tblInd w:w="0" w:type="dxa"/>
        <w:tblLayout w:type="fixed"/>
        <w:tblCellMar>
          <w:top w:w="0" w:type="dxa"/>
          <w:left w:w="0" w:type="dxa"/>
          <w:bottom w:w="0" w:type="dxa"/>
          <w:right w:w="0" w:type="dxa"/>
        </w:tblCellMar>
      </w:tblPr>
      <w:tblGrid>
        <w:gridCol w:w="4100"/>
        <w:gridCol w:w="60"/>
        <w:gridCol w:w="305"/>
        <w:gridCol w:w="1387"/>
        <w:gridCol w:w="207"/>
        <w:gridCol w:w="131"/>
        <w:gridCol w:w="305"/>
        <w:gridCol w:w="1387"/>
        <w:gridCol w:w="11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September 30,</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387" w:type="dxa"/>
            <w:tcBorders/>
            <w:shd w:fill="CCEEFF" w:val="clear"/>
            <w:vAlign w:val="center"/>
          </w:tcPr>
          <w:p>
            <w:pPr>
              <w:pStyle w:val="TableContents"/>
              <w:bidi w:val="0"/>
              <w:spacing w:before="0" w:after="283"/>
              <w:jc w:val="right"/>
              <w:rPr/>
            </w:pPr>
            <w:r>
              <w:rPr/>
              <w:t>(3,539</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387" w:type="dxa"/>
            <w:tcBorders/>
            <w:shd w:fill="CCEEFF" w:val="clear"/>
            <w:vAlign w:val="center"/>
          </w:tcPr>
          <w:p>
            <w:pPr>
              <w:pStyle w:val="TableContents"/>
              <w:bidi w:val="0"/>
              <w:spacing w:before="0" w:after="283"/>
              <w:jc w:val="right"/>
              <w:rPr/>
            </w:pPr>
            <w:r>
              <w:rPr/>
              <w:t>(6,239</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(30</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159</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332</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888</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10</w:t>
            </w:r>
          </w:p>
        </w:tc>
        <w:tc>
          <w:tcPr>
            <w:tcW w:w="11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pPr>
            <w:r>
              <w:rPr/>
              <w:t>214</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7" w:type="dxa"/>
            <w:tcBorders>
              <w:bottom w:val="single" w:sz="8" w:space="0" w:color="000000"/>
            </w:tcBorders>
            <w:shd w:fill="CCEEFF" w:val="clear"/>
            <w:tcMar>
              <w:bottom w:w="28" w:type="dxa"/>
            </w:tcMar>
            <w:vAlign w:val="center"/>
          </w:tcPr>
          <w:p>
            <w:pPr>
              <w:pStyle w:val="TableContents"/>
              <w:bidi w:val="0"/>
              <w:spacing w:before="0" w:after="283"/>
              <w:jc w:val="right"/>
              <w:rPr/>
            </w:pPr>
            <w:r>
              <w:rPr/>
              <w:t>(173</w:t>
            </w:r>
          </w:p>
        </w:tc>
        <w:tc>
          <w:tcPr>
            <w:tcW w:w="110"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7" w:type="dxa"/>
            <w:tcBorders>
              <w:bottom w:val="double" w:sz="6" w:space="0" w:color="000000"/>
            </w:tcBorders>
            <w:shd w:fill="FFFFFF" w:val="clear"/>
            <w:tcMar>
              <w:bottom w:w="28" w:type="dxa"/>
            </w:tcMar>
            <w:vAlign w:val="center"/>
          </w:tcPr>
          <w:p>
            <w:pPr>
              <w:pStyle w:val="TableContents"/>
              <w:bidi w:val="0"/>
              <w:spacing w:before="0" w:after="283"/>
              <w:jc w:val="right"/>
              <w:rPr/>
            </w:pPr>
            <w:r>
              <w:rPr/>
              <w:t>(2,308</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7" w:type="dxa"/>
            <w:tcBorders>
              <w:bottom w:val="double" w:sz="6" w:space="0" w:color="000000"/>
            </w:tcBorders>
            <w:shd w:fill="FFFFFF" w:val="clear"/>
            <w:tcMar>
              <w:bottom w:w="28" w:type="dxa"/>
            </w:tcMar>
            <w:vAlign w:val="center"/>
          </w:tcPr>
          <w:p>
            <w:pPr>
              <w:pStyle w:val="TableContents"/>
              <w:bidi w:val="0"/>
              <w:spacing w:before="0" w:after="283"/>
              <w:jc w:val="right"/>
              <w:rPr/>
            </w:pPr>
            <w:r>
              <w:rPr/>
              <w:t>(6,085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2685</Words>
  <Characters>15308</Characters>
  <CharactersWithSpaces>18373</CharactersWithSpaces>
  <Paragraphs>1395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