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3.htm"/>
      <w:bookmarkStart w:id="1" w:name="ksforms3"/>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SINTX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2495"/>
        <w:gridCol w:w="60"/>
        <w:gridCol w:w="189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84-1375299</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1885 West 2100 South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Salt Lake City, UT 84119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Eric Olson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1885 West 2100 South</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Salt Lake City, UT, 84119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(801) 839-3500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F. Marx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P. Lyman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 South Main Street, Suite 2100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Salt Lake City, Utah 84111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 as determined by the selling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center"/>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center"/>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prospectus is not complete and may be changed. The selling stockholder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4855" w:type="dxa"/>
        <w:jc w:val="left"/>
        <w:tblInd w:w="0" w:type="dxa"/>
        <w:tblLayout w:type="fixed"/>
        <w:tblCellMar>
          <w:top w:w="0" w:type="dxa"/>
          <w:left w:w="0" w:type="dxa"/>
          <w:bottom w:w="0" w:type="dxa"/>
          <w:right w:w="0" w:type="dxa"/>
        </w:tblCellMar>
      </w:tblPr>
      <w:tblGrid>
        <w:gridCol w:w="2750"/>
        <w:gridCol w:w="2105"/>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105"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August 12, 2026</w:t>
            </w:r>
          </w:p>
        </w:tc>
      </w:tr>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105" w:type="dxa"/>
            <w:tcBorders/>
            <w:vAlign w:val="center"/>
          </w:tcPr>
          <w:p>
            <w:pPr>
              <w:pStyle w:val="TableContents"/>
              <w:bidi w:val="0"/>
              <w:spacing w:before="0" w:after="283"/>
              <w:jc w:val="right"/>
              <w:rPr>
                <w:caps w:val="false"/>
                <w:smallCaps w:val="false"/>
                <w:color w:val="FF0000"/>
              </w:rPr>
            </w:pPr>
            <w:r>
              <w:rPr>
                <w:caps w:val="false"/>
                <w:smallCaps w:val="false"/>
                <w:color w:val="FF000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447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1,268,135 Shares of Common Stock Offered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resale by the selling stockholder identified in this prospectus or its donees, pledgees, assignees, transferees, distributees or other successors-in-interest (the “selling stockholder”) of up to an aggregate of 1,268,135 shares (the “Shares”) of our common stock, par value $0.01 per share (the “common stock”), issuable upon the exercise of new common stock purchase warrants (the “New Warrants”) issued to the selling stockholder pursuant to a letter agreement, dated June 29, 2026 (the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of the Shares of common stock underlying the New Warrants to satisfy certain registration rights granted to the selling stockholder under the Letter Agreement. We will not receive any proceeds from the resale of the Shares by the selling stockholder. However, we may receive gross proceeds up to approximately $2.7 million upon the exercise for cash of the New Warrants held by the selling stockholder. Proceeds, if any, received from the exercise of such New Warrants will be used for general corporate purposes and working capital. No assurances can be given that any New Warrants will be exercised or that we will receive any cash proceeds upon such exercise if cashless exercise is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the Shares by the selling stockholder may occur at fixed prices, at market prices prevailing at the time of sale, at prices related to prevailing market prices or at negotiated prices. The selling stockholder may sell Shares from time to time to or through underwriters, broker-dealers or agents, who may receive compensation in the form of discounts, concessions or commissions from the selling stockholder, the purchasers of the Shares, or both. The selling stockholder will receive all of the proceeds from the sale of the Shares in this offering. The selling stockholder may sell any, all or none of the Shares and we do not know when or in what amount the selling stockholder may sell the Shares hereunder following the effective date of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paying the cost of registering the shares of common stock covered by this prospectus as well as various related expenses. The selling stockholder is responsible for all broker or similar commissions related to the offer and sale of its Shares. See the section titled “Plan of Distribution” on page 23 for more information about how the selling stockholder may sell or dispose of its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trading symbol “SINT.” On August 11, 2026, the last reported sale price of our common stock was $1.77 per share. We recommend that you obtain current market quotations for our common stock prior to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under the federal securities laws and, as such, have elected to comply with certain reduced public company reporting requirements for this prospectus and the documents incorporated by reference herein and may elect to comply with reduced public company reporting requirements in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together with the documents we incorporate by reference, before you invest in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under the section titled “Risk Factors” on page 5 of this prospectus and any similar section contained in any amendment or supplement to this prospectus or in any filing with the Securities and Exchange Commission that is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5765"/>
        <w:gridCol w:w="245"/>
      </w:tblGrid>
      <w:tr>
        <w:trPr/>
        <w:tc>
          <w:tcPr>
            <w:tcW w:w="5765" w:type="dxa"/>
            <w:tcBorders/>
            <w:shd w:fill="CCEEFF" w:val="clear"/>
            <w:vAlign w:val="center"/>
          </w:tcPr>
          <w:p>
            <w:pPr>
              <w:pStyle w:val="TableContents"/>
              <w:bidi w:val="0"/>
              <w:spacing w:before="0" w:after="283"/>
              <w:jc w:val="both"/>
              <w:rPr/>
            </w:pPr>
            <w:hyperlink w:anchor="ma_002">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765" w:type="dxa"/>
            <w:tcBorders/>
            <w:shd w:fill="FFFFFF" w:val="clear"/>
            <w:vAlign w:val="center"/>
          </w:tcPr>
          <w:p>
            <w:pPr>
              <w:pStyle w:val="TableContents"/>
              <w:bidi w:val="0"/>
              <w:spacing w:before="0" w:after="283"/>
              <w:jc w:val="both"/>
              <w:rPr/>
            </w:pPr>
            <w:hyperlink w:anchor="ma_003">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765" w:type="dxa"/>
            <w:tcBorders/>
            <w:shd w:fill="CCEEFF" w:val="clear"/>
            <w:vAlign w:val="center"/>
          </w:tcPr>
          <w:p>
            <w:pPr>
              <w:pStyle w:val="TableContents"/>
              <w:bidi w:val="0"/>
              <w:spacing w:before="0" w:after="283"/>
              <w:jc w:val="both"/>
              <w:rPr/>
            </w:pPr>
            <w:hyperlink w:anchor="ma_004">
              <w:r>
                <w:rPr>
                  <w:rStyle w:val="InternetLink"/>
                  <w:rFonts w:ascii="Times New Roman;Times;Serif" w:hAnsi="Times New Roman;Times;Serif"/>
                  <w:b w:val="false"/>
                  <w:i w:val="false"/>
                  <w:caps w:val="false"/>
                  <w:smallCaps w:val="false"/>
                  <w:sz w:val="20"/>
                </w:rPr>
                <w:t>THE OFFERING</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765" w:type="dxa"/>
            <w:tcBorders/>
            <w:shd w:fill="FFFFFF" w:val="clear"/>
            <w:vAlign w:val="center"/>
          </w:tcPr>
          <w:p>
            <w:pPr>
              <w:pStyle w:val="TableContents"/>
              <w:bidi w:val="0"/>
              <w:spacing w:before="0" w:after="283"/>
              <w:jc w:val="both"/>
              <w:rPr/>
            </w:pPr>
            <w:hyperlink w:anchor="ma_005">
              <w:r>
                <w:rPr>
                  <w:rStyle w:val="InternetLink"/>
                  <w:rFonts w:ascii="Times New Roman;Times;Serif" w:hAnsi="Times New Roman;Times;Serif"/>
                  <w:b w:val="false"/>
                  <w:i w:val="false"/>
                  <w:caps w:val="false"/>
                  <w:smallCaps w:val="false"/>
                  <w:sz w:val="20"/>
                </w:rPr>
                <w:t>SPECIAL NOTE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5765" w:type="dxa"/>
            <w:tcBorders/>
            <w:shd w:fill="CCEEFF" w:val="clear"/>
            <w:vAlign w:val="center"/>
          </w:tcPr>
          <w:p>
            <w:pPr>
              <w:pStyle w:val="TableContents"/>
              <w:bidi w:val="0"/>
              <w:spacing w:before="0" w:after="283"/>
              <w:jc w:val="both"/>
              <w:rPr/>
            </w:pPr>
            <w:hyperlink w:anchor="ma_006">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5765" w:type="dxa"/>
            <w:tcBorders/>
            <w:shd w:fill="FFFFFF" w:val="clear"/>
            <w:vAlign w:val="center"/>
          </w:tcPr>
          <w:p>
            <w:pPr>
              <w:pStyle w:val="TableContents"/>
              <w:bidi w:val="0"/>
              <w:spacing w:before="0" w:after="283"/>
              <w:jc w:val="both"/>
              <w:rPr/>
            </w:pPr>
            <w:hyperlink w:anchor="ma_007">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765" w:type="dxa"/>
            <w:tcBorders/>
            <w:shd w:fill="CCEEFF" w:val="clear"/>
            <w:vAlign w:val="center"/>
          </w:tcPr>
          <w:p>
            <w:pPr>
              <w:pStyle w:val="TableContents"/>
              <w:bidi w:val="0"/>
              <w:spacing w:before="0" w:after="283"/>
              <w:jc w:val="both"/>
              <w:rPr/>
            </w:pPr>
            <w:hyperlink w:anchor="ma_008">
              <w:r>
                <w:rPr>
                  <w:rStyle w:val="InternetLink"/>
                  <w:rFonts w:ascii="Times New Roman;Times;Serif" w:hAnsi="Times New Roman;Times;Serif"/>
                  <w:b w:val="false"/>
                  <w:i w:val="false"/>
                  <w:caps w:val="false"/>
                  <w:smallCaps w:val="false"/>
                  <w:sz w:val="20"/>
                </w:rPr>
                <w:t>DESCRIPTION OF SECURITIES</w:t>
              </w:r>
            </w:hyperlink>
            <w:r>
              <w:rPr>
                <w:rFonts w:ascii="Times New Roman;Times;Serif" w:hAnsi="Times New Roman;Times;Serif"/>
                <w:b w:val="false"/>
                <w:i w:val="false"/>
                <w:caps w:val="false"/>
                <w:smallCaps w:val="false"/>
                <w:sz w:val="20"/>
              </w:rPr>
              <w:t xml:space="preserve"> </w:t>
            </w:r>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p>
        </w:tc>
      </w:tr>
      <w:tr>
        <w:trPr/>
        <w:tc>
          <w:tcPr>
            <w:tcW w:w="5765" w:type="dxa"/>
            <w:tcBorders/>
            <w:shd w:fill="FFFFFF" w:val="clear"/>
            <w:vAlign w:val="center"/>
          </w:tcPr>
          <w:p>
            <w:pPr>
              <w:pStyle w:val="TableContents"/>
              <w:bidi w:val="0"/>
              <w:spacing w:before="0" w:after="283"/>
              <w:jc w:val="both"/>
              <w:rPr/>
            </w:pPr>
            <w:hyperlink w:anchor="ma_009">
              <w:r>
                <w:rPr>
                  <w:rStyle w:val="InternetLink"/>
                  <w:rFonts w:ascii="Times New Roman;Times;Serif" w:hAnsi="Times New Roman;Times;Serif"/>
                  <w:b w:val="false"/>
                  <w:i w:val="false"/>
                  <w:caps w:val="false"/>
                  <w:smallCaps w:val="false"/>
                  <w:sz w:val="20"/>
                </w:rPr>
                <w:t>SELLING STOCKHOLDER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765" w:type="dxa"/>
            <w:tcBorders/>
            <w:shd w:fill="CCEEFF" w:val="clear"/>
            <w:vAlign w:val="center"/>
          </w:tcPr>
          <w:p>
            <w:pPr>
              <w:pStyle w:val="TableContents"/>
              <w:bidi w:val="0"/>
              <w:spacing w:before="0" w:after="283"/>
              <w:jc w:val="both"/>
              <w:rPr/>
            </w:pPr>
            <w:hyperlink w:anchor="ma_010">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765" w:type="dxa"/>
            <w:tcBorders/>
            <w:shd w:fill="FFFFFF" w:val="clear"/>
            <w:vAlign w:val="center"/>
          </w:tcPr>
          <w:p>
            <w:pPr>
              <w:pStyle w:val="TableContents"/>
              <w:bidi w:val="0"/>
              <w:spacing w:before="0" w:after="283"/>
              <w:jc w:val="both"/>
              <w:rPr/>
            </w:pPr>
            <w:hyperlink w:anchor="ma_011">
              <w:r>
                <w:rPr>
                  <w:rStyle w:val="InternetLink"/>
                  <w:rFonts w:ascii="Times New Roman;Times;Serif" w:hAnsi="Times New Roman;Times;Serif"/>
                  <w:b w:val="false"/>
                  <w:i w:val="false"/>
                  <w:caps w:val="false"/>
                  <w:smallCaps w:val="false"/>
                  <w:sz w:val="20"/>
                </w:rPr>
                <w:t>LEGAL MATTERS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5765" w:type="dxa"/>
            <w:tcBorders/>
            <w:shd w:fill="CCEEFF" w:val="clear"/>
            <w:vAlign w:val="center"/>
          </w:tcPr>
          <w:p>
            <w:pPr>
              <w:pStyle w:val="TableContents"/>
              <w:bidi w:val="0"/>
              <w:spacing w:before="0" w:after="283"/>
              <w:jc w:val="both"/>
              <w:rPr/>
            </w:pPr>
            <w:hyperlink w:anchor="ma_012">
              <w:r>
                <w:rPr>
                  <w:rStyle w:val="InternetLink"/>
                  <w:rFonts w:ascii="Times New Roman;Times;Serif" w:hAnsi="Times New Roman;Times;Serif"/>
                  <w:b w:val="false"/>
                  <w:i w:val="false"/>
                  <w:caps w:val="false"/>
                  <w:smallCaps w:val="false"/>
                  <w:sz w:val="20"/>
                </w:rPr>
                <w:t>EXPERTS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5765" w:type="dxa"/>
            <w:tcBorders/>
            <w:shd w:fill="FFFFFF" w:val="clear"/>
            <w:vAlign w:val="center"/>
          </w:tcPr>
          <w:p>
            <w:pPr>
              <w:pStyle w:val="TableContents"/>
              <w:bidi w:val="0"/>
              <w:spacing w:before="0" w:after="283"/>
              <w:jc w:val="both"/>
              <w:rPr/>
            </w:pPr>
            <w:hyperlink w:anchor="ma_013">
              <w:r>
                <w:rPr>
                  <w:rStyle w:val="InternetLink"/>
                  <w:rFonts w:ascii="Times New Roman;Times;Serif" w:hAnsi="Times New Roman;Times;Serif"/>
                  <w:b w:val="false"/>
                  <w:i w:val="false"/>
                  <w:caps w:val="false"/>
                  <w:smallCaps w:val="false"/>
                  <w:sz w:val="20"/>
                </w:rPr>
                <w:t>WHERE YOU CAN FIND ADDITIONAL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5765" w:type="dxa"/>
            <w:tcBorders/>
            <w:shd w:fill="CCEEFF" w:val="clear"/>
            <w:vAlign w:val="center"/>
          </w:tcPr>
          <w:p>
            <w:pPr>
              <w:pStyle w:val="TableContents"/>
              <w:bidi w:val="0"/>
              <w:spacing w:before="0" w:after="283"/>
              <w:jc w:val="both"/>
              <w:rPr/>
            </w:pPr>
            <w:hyperlink w:anchor="ma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ma_002"/>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(“SEC”). Under this registration statement, the selling stockholder may sell from time to time in one or more offerings the common stock described in this prospectus. We will not receive any proceeds from the sale of common stock by the selling stockholder pursuant to this prospectus, except for cash received upon any exercise of the New Warrants,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be supplemented from time to time by one or more prospectus supplements. Such prospectus supplement may also add, update or change information contained in this prospectus. If there is any inconsistency between the information in this prospectus and the applicable prospectus supplement, you must rely on the information in the prospectus supplement. You should carefully read both this prospectus and any applicable prospectus supplement together with additional information described under the heading “Where You Can Find Additional Information” and “Incorporation of Certain Information by Reference” before deciding to invest in the Shares being offered.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selling stockholder have not authorized anyone to provide you with information other than the information that we have provided or incorporated by reference in this prospectus and your reliance on any unauthorized information or representation is at your own risk. This prospectus may be used only in jurisdictions where offers and sales of these securities are permitted. Persons outside the United States who come into possession of this prospectus must inform themselves about, and observe any restrictions relating to, this offering of our securities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assume that the information appearing in this prospectus is accurate only as of the date of this prospectus and that any information we have incorporated by reference is accurate only as of the date of the document incorporated by reference, regardless of the time of delivery of this prospectus, or any sale of our common stock. Our business, financial condition and results of operations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mentioned or unless the context indicates otherwise, all references in this prospectus to the “Company,” “we,” “us” and “our” refer to the business of Sintx Technologies, Inc., a Delaware corporation, and its consolidated subsidiaries.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ma_003"/>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or incorporated by reference in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sections titled “Risk Factors” contained in this prospectus, the applicable prospectus supplement, if any, and any related free writing prospectus, and under similar sections in the other documents that are incorporated by reference into this prospectus. You should also carefully read the other information incorporated by reference into this prospectus, including our financial statements, and the exhibits to the registration statement of which this prospectus is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is an advanced ceramics company formed in December 1996 that develops, manufactures, and commercializes silicon nitride biomaterials, composites, devices, and related technologies for medical and other high-value applications. SINTX provides biomedical solutions for medical devices specializing in silicon nitride (Si₃N₄) for musculoskeletal and antipathogenic applications. We also manufacture parts made from silicon nitride for customers in the electrical, aerospace and other industrial sectors. SINTX is a global leader in the research, development, and manufacturing of silicon nitride, and its products have been implanted in humans since 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Core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Biomedical Applications</w:t>
      </w:r>
      <w:r>
        <w:rPr>
          <w:rFonts w:ascii="Times New Roman;Times;Serif" w:hAnsi="Times New Roman;Times;Serif"/>
          <w:b w:val="false"/>
          <w:i w:val="false"/>
          <w:caps w:val="false"/>
          <w:smallCaps w:val="false"/>
          <w:sz w:val="20"/>
        </w:rPr>
        <w:t>: Since its inception, SINTX has focused on medical-grade silicon nitride. SINTX biomedical products have been shown to be biocompatible, bioactive, antipathogenic, and to exhibit strong bone affinity. Spinal implants made from SINTX silicon nitride have been successfully implanted in humans since 2008 in the U.S., Europe, South America, and Asia. In October 2025, SINTX received U.S. Food and Drug Administration (FDA) 510(k) clearance for the SiNAPTIC® Foot &amp; Ankle Osteotomy Wedge System, enabling SINTX’s commercial entry into reconstructive foot and ankle surgery in the U.S. In March 2026, a SiNAPTIC wedge manufactured from Si₃N₄ was utilized in a reconstructive foot and ankle procedure in the U.S. This established clinical use, together with silicon nitride’s inherent resistance to bacterial adhesion and strong bone affinity, suggests potential suitability for additional orthopedic and fusion-related applications including arthroplasty implants and dental implants.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Antipathogenic Applications</w:t>
      </w:r>
      <w:r>
        <w:rPr>
          <w:rFonts w:ascii="Times New Roman;Times;Serif" w:hAnsi="Times New Roman;Times;Serif"/>
          <w:b w:val="false"/>
          <w:i w:val="false"/>
          <w:caps w:val="false"/>
          <w:smallCaps w:val="false"/>
          <w:sz w:val="20"/>
        </w:rPr>
        <w:t>: SINTX believes that by incorporating its unique composition of silicon nitride antipathogenic powder into products such as face masks, drapes, filters, sutures, and wound care devices, it is possible to manufacture surfaces that inactivate pathogens, thereby limiting the spread of infection and disease. We presently manufacture advanced ceramic powders and components in our manufacturing facilities based in Salt Lake City, Utah.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Industrial Applications:</w:t>
      </w:r>
      <w:r>
        <w:rPr>
          <w:rFonts w:ascii="Times New Roman;Times;Serif" w:hAnsi="Times New Roman;Times;Serif"/>
          <w:b w:val="false"/>
          <w:i w:val="false"/>
          <w:caps w:val="false"/>
          <w:smallCaps w:val="false"/>
          <w:sz w:val="20"/>
        </w:rPr>
        <w:t xml:space="preserve"> SINTX manufactures advanced silicon nitride ceramic components for industrial customers operating in demanding technical and high-performance environments. The Company’s silicon nitride materials are utilized in applications requiring exceptional mechanical strength, thermal stability, wear resistance, and corrosion resistance. Industrial applications have become an increasingly significant component of the Company’s commercial activities, with SINTX collaborating with industrial partners to develop precision-engineered ceramic solutions across multiple end markets. The Company believes its expertise in silicon nitride processing, advanced manufacturing, and materials science positions SINTX to support continued growth in industrial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presently manufacture advanced ceramic powders and components in our manufacturing facilities based in Salt Lake City, Utah. The SINTX Salt Lake City facility is registered with the FDA, is cGMP and ANVISA RDC 665 compliant, as well as being ISO 9001:2015, ISO 13485:2016 certified, and AS9100D certified. The Company’s products are primarily sold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is located at 1885 West 2100 South, Salt Lake City, Utah 84119, and our telephone number is (801) 839-3500. We maintain a website at https://www.sintx.com. Information on the website is not incorporated by reference and is not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may include trademarks, service marks and trade names owned by us or other companies. All trademarks, service marks and trade names included herein are the property of their respective owners.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ma_004"/>
      <w:bookmarkEnd w:id="4"/>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8"/>
        <w:gridCol w:w="60"/>
        <w:gridCol w:w="8227"/>
      </w:tblGrid>
      <w:tr>
        <w:trPr/>
        <w:tc>
          <w:tcPr>
            <w:tcW w:w="1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by the selling stockholder of an aggregate of 1,268,135 Shares issuable upon the exercise of the New Warrants issued to the selling stockholder pursuant to the Letter Agreement.</w:t>
            </w:r>
          </w:p>
        </w:tc>
      </w:tr>
      <w:tr>
        <w:trPr/>
        <w:tc>
          <w:tcPr>
            <w:tcW w:w="19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before the offering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6,664,534 shares.</w:t>
            </w:r>
          </w:p>
        </w:tc>
      </w:tr>
      <w:tr>
        <w:trPr/>
        <w:tc>
          <w:tcPr>
            <w:tcW w:w="19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after the offering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7,932,669 shares, assuming exercise of all New Warrants.</w:t>
            </w:r>
          </w:p>
        </w:tc>
      </w:tr>
      <w:tr>
        <w:trPr/>
        <w:tc>
          <w:tcPr>
            <w:tcW w:w="19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of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determine when and how it will sell the Shares offered in this prospectus, as described in the “Plan of Distribution” on page 23.</w:t>
            </w:r>
          </w:p>
        </w:tc>
      </w:tr>
      <w:tr>
        <w:trPr/>
        <w:tc>
          <w:tcPr>
            <w:tcW w:w="19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Shares. In the event the selling stockholder exercise all of the New Warrants for cash, we will receive an aggregate of approximately $2.7 million of gross proceeds. Any proceeds that we receive from the exercise of such New Warrants will be used for working capital and general corporate purposes.</w:t>
            </w:r>
          </w:p>
        </w:tc>
      </w:tr>
      <w:tr>
        <w:trPr/>
        <w:tc>
          <w:tcPr>
            <w:tcW w:w="19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should read and consider the information set forth under the heading “Risk Factors” on page 5 of this prospectus, together with the risk factors and cautionary statements described in our Form 10-K for the fiscal year ended December 31, 2025 and any subsequent Quarterly Reports on Form 10-Q, incorporated by reference herein, before deciding to invest in the Shares. </w:t>
            </w:r>
          </w:p>
        </w:tc>
      </w:tr>
      <w:tr>
        <w:trPr/>
        <w:tc>
          <w:tcPr>
            <w:tcW w:w="191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22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“SINT.”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to be outstanding after this offering is based on 6,664,534 shares of common stock outstanding as of August 11, 2026 and excludes, in each case as of June 30,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170,023 shares of common stock issuable upon the exercise of outstanding options at a weighted average exercise price of $6.31 per share and 667,080 shares of common stock issuable upon the vesting of outstanding restricted stock units granted under our equity incentive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5,958,753 shares of common stock issuable upon the exercise of outstanding warrants, excluding the New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7,385 shares of our common stock issuable upon the conversion of 19 shares of series B convertible preferred stock outstanding;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shares of our common stock issuable upon the conversion of 50 shares of series C convertible preferred stock outstanding;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 shares of common stock reserved for issuance upon conversion of 180 shares of the Series D Preferred Stock outstanding.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information in this prospectus, including the number of shares outstanding after this offering, does not reflect (i) any issuance, exercise, vesting, expiration, or forfeiture of any additional equity awards under our incentive plans that occurred after June 30, 2026 or (ii) the effect of the “full-ratchet” anti-dilution adjustment of the conversion price of our outstanding Series B Convertible Preferred Stock by this offering.</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ma_005"/>
      <w:bookmarkEnd w:id="5"/>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we have filed with the SEC that are incorporated by reference contain “forward-looking statements” within the meaning of Section 27A of the Securities Act of 1933, as amended (the “Securities Act”), and Section 21E of the Exchange Act, which involve risks and uncertainties. These statements relate to future events or to our future operating or financial performance and involve known and unknown risks, uncertainties and other factors that may cause our actual results, performance or achievements to be materially different from any future results, performances or achievements expressed or implied by the forward-looking statements. Forward-looking statements provide current expectations of future events based on certain assumptions and include any statement that does not directly relate to any historical or current fact. Forward-looking statements are based on our management’s current beliefs, expectations and assumptions about future events, conditions and results and on information currently available to us. Discussions containing these forward-looking statements may be found, among other places, in the Sections of this prospectus entitled “Prospectus Summary” and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terms such as “anticipates,” “believes,” “could,” “estimates,” “expects,” “may,” “plans,” “potential” “predicts,” “projects,” “should,” “will,” “would,” and similar expressions intended to identify forward-looking statements. These statements reflect our current views with respect to future events and are based on assumptions and are subject to risks and uncertainties. Given these assumptions, risks and uncertainties, you should not place undue reliance on these forward-looking statements. We discuss in greater detail many of these risks under the heading “Risk Factors” contained in this prospectus, in any applicable prospectus supplement, in any free writing prospectuses we may authorize for use in connection with a specific offering, and in our most recent Annual Report on Form 10-K and in our most recent Quarterly Reports on Form 10-Q, as well as any amendments thereto reflected in subsequent filings with the SEC, which are incorporated by reference into this prospectus in their entirety. Also, these forward-looking statements represent our estimates and assumptions only as of the date of the document containing the applicable statement. In addition, past financial and/or operating performance is not necessarily a reliable indicator of future performance and you should not use our historical performance to anticipate results or future period trends. We can give no assurances that any of the events anticipated by the forward-looking statements will occur or, if any of them do, what impact they will have on our results of operations and financial condition. 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any applicable prospectus supplement, together with the documents we have filed with the SEC that are incorporated by reference and any free writing prospectuses that we may authorize for use in connection with a specific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ma_006"/>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deciding whether to invest in our securities, you should consider carefully the risks and uncertainties discussed in this section and under the sections titled Risk Factors contained in our most recent Annual Report on Form 10-K and in our subsequent Quarterly Reports on Form 10-Q for the quarterly periods ended subsequent to our filing of such Annual Report on Form 10-K, as well as any amendments or updates to our risk factors reflected in subsequent filings with the SEC, which are incorporated by reference into this prospectus, together with other information in this prospectus, the documents incorporated by reference, any prospectus supplement and any free writing prospectus that we may authorize.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results of operations and cash flow could be materially and adversely affected. In that case, the trading price of our common stock could decline and you might lose all or part of your investment. For more information about our SEC filings, please see “Where You Can Find Additional Information” and “Incorporation of Certain Information by Reference.” If any of the risks discussed in the foregoing documents were to occur, our business, financial condition, results of operations and prospects could be materially adversely affected. Please also read carefully the section titled “Special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and consider risk factors specific to our business before making an investment decision. Those risks are described in Item 1A “Risk Factors” in our annual report on Form 10-K for the fiscal year ended December 31, 2025, and in other documents incorporated by reference into this prospectus. Please be aware that additional risks and uncertainties not currently known to us or that we currently deem to be immaterial could also materially and adversely affect our business, results of operations, financial condition, cash flows or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shares issuable upon exercise of the New Warrants may depress the price of our common stock and encourage short sales by third parties, which could further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the selling stockholder sells the shares of our common stock issued upon exercise of the New Warrants, the market price of such shares may decrease due to the additional selling pressure in the market. In addition, the dilution from issuances of such shares may cause the stockholder to sell its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and issuances of our common stock or other securities might result in significant dilution and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raise capital, we may sell common stock, convertible securities or other equity securities in one or more transactions, at prices and in a manner we determine from time to time.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what effect, if any, sales of shares of our common stock in the public market or the availability of shares for sale will have on the market price of our common stock. However, future sales of substantial amounts of our common stock in the public market, or the perception that such sales may occur, could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 will have broad discretion as to the use of the proceeds from the exercise of the New Warrants and uses may not improve our financial condition or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of the Shares by the selling stockholder. In the event the selling stockholder exercises all of the New Warrants in cash, we may receive an aggregate of approximately $2.7 million of gross proceeds. Any proceeds that we receive from the exercise of such New Warrants will be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have not designated the amount of proceeds from the exercise of the New Warrants to be used for any particular purpose, our management will have broad discretion as to the application of such proceeds and could use them for purposes other than those contemplated hereby. Our management may use the proceeds for corporate purposes that may not improve our financial condition or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received a notice from Nasdaq that we are not in compliance with Nasdaq’s minimum stockholders’ equity requirement. If we are unable to regain compliance with Nasdaq’s continued listing standards, our common stock may be delisted from the Nasdaq Capital Market, which could materially impair the liquidity and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we received a notice from the Listing Qualifications Department of The Nasdaq Stock Market LLC indicating that we were not in compliance with Nasdaq Listing Rule 5550(b)(1), which requires companies listed on the Nasdaq Capital Market to maintain a minimum of $2.5 million in stockholders’ equity for continued listing. The notice stated that, based on our Quarterly Report on Form 10-Q for the quarter ended March 31, 2026, we reported stockholders’ equity of $904,000 and did not satisfy the alternative continued listing standards based on market value of listed securities or net income from continuing operations. In accordance with Nasdaq Listing Rules, the Company has 45 calendar days, or until July 6, 2026, to submit a plan to regain compliance. If Nasdaq accepts the Company’s plan, Nasdaq may grant the Company an extension of up to 180 calendar days from the date of the notice to evidence compliance.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2026, we submitted a compliance plan to Nasdaq. As of the date of this prospectus, we have not received any further notice from Nasdaq. There can be no assurance that Nasdaq will accept our compliance plan or grant us an extended period to regain compliance. Even if Nasdaq grants an extension, there can be no assurance that we will regain compliance within that period, or that we will be able to maintain compliance with Nasdaq’s continued listing requirements in the future.</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regain compliance with Nasdaq Listing Rule 5550(b)(1), or if Nasdaq otherwise determines to delist our common stock, we would have the right to appeal such determination to a Nasdaq Hearings Panel, but there can be no assurance that any appeal would be successful. A delisting of our common stock from the Nasdaq Capital Market could materially reduce the liquidity of our common stock, impair our ability to raise additional capital, adversely affect the market price of our common stock, reduce the number of investors willing to hold or acquire our common stock, limit the availability of market quotations for our common stock, and negatively affect our reputation and business prospects. A delisting could also adversely affect the ability of the selling stockholder to resell the Shares covered by this prospectus and could further increase the volatility of our common stock.</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ma_007"/>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or other disposition of the Shares offered pursuant to this prospectus. Upon any exercise of the New Warrants for cash, the selling stockholder will pay us the exercise price set forth in the New Warrants, totaling approximately $2.7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Warrants have an exercise price equal to $2.14 per share, and if all 1,268,135 New Warrant Shares registered hereunder are exercised on a cash basis, we will receive proceeds of approximately $2.7 million. The New Warrants are exercisable on a cashless basis. If any of the New Warrants are exercised on a cashless basis, we will not receive any cash payment from the selling stockholder upon any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intend to use any proceeds from the cash exercise of any New Warrants for working capital and general corporate purposes. See “Risks Related to this Offering </w:t>
      </w:r>
      <w:r>
        <w:rPr>
          <w:rFonts w:ascii="Times New Roman;Times;Serif" w:hAnsi="Times New Roman;Times;Serif"/>
          <w:b w:val="false"/>
          <w:i/>
          <w:caps w:val="false"/>
          <w:smallCaps w:val="false"/>
          <w:sz w:val="20"/>
        </w:rPr>
        <w:t>- Management will have broad discretion as to the use of the proceeds from the offering and uses may not improve our financial condition or market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the out-of-pocket costs, expenses and fees incurred in connection with the registration of shares of our common stock to be sold by the selling stockholder pursuant to this prospectus. Other than registration expenses, the selling stockholder will bear its own broker or similar commissions payable with respect to sales of the Shares.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ma_008"/>
      <w:bookmarkEnd w:id="8"/>
      <w:r>
        <w:rPr>
          <w:rFonts w:ascii="Times New Roman;Times;Serif" w:hAnsi="Times New Roman;Times;Serif"/>
          <w:b/>
          <w:i w:val="false"/>
          <w:caps w:val="false"/>
          <w:smallCaps w:val="false"/>
          <w:sz w:val="20"/>
        </w:rPr>
        <w:t>DESCRIPTION OF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offering up to an aggregate of 1,268,135 Shares of our common stock, issued by us in connection with the Letter Agreement. The following description summarizes the material terms and provisions of our capital stock, including the common stock the selling stockholder may offer under this prospectus. The following description of our capital stock does not purport to be complete and is subject to, and qualified in its entirety by, our amended restated certificate of incorporation (the “Amended and Restated Certificate of Incorporation”) and amended and restated bylaws (the “Amended and Restated Bylaws”), which are incorporated by reference into this prospectus. We urge you to read each of the Amended and Restated Certificate of Incorporation and the Amended and Restated Bylaws described herein in their entirety for a complete description of the rights and preferences of our securities. The terms of our capital stock may also be affected by Delaware law. Therefore, you should carefully consider the actual provisions of these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two hundred and fifty million (250,000,000) shares of common stock, $0.01 par value per share, and one hundred thirty million (130,000,000) shares of preferred stock, $0.01 par value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11, 2026, there were 6,664,534 shares of common stock outstanding. Each outstanding share of common stock entitles the holder thereof to one vote per share on all matters. Our Amended and Restated Bylaws provide that any vacancy occurring in the Board of Directors may be filled by the affirmative vote of a majority of the remaining directors. Stockholders do not have preemptive rights to purchase shares in any future issuance of our common stock. In the event of our liquidation, dissolution or winding up, holders of our common stock are entitled to receive, ratably, the net assets available to stockholders after payment of all creditors.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of record on all matters submitted to a vote of the stockholders, and do not have cumulative voting rights. Accordingly, the holders of a majority of the shares of our common stock entitled to vote can elect all directors standing for election. Subject to preferences that may be applicable to any outstanding shares of preferred stock, holders of our common stock are entitled to receive ratably such dividends, if any, as may be declared from time to time by our Board of Directors out of funds legally available for dividend payments. All outstanding shares of our common stock are fully paid and nonassessable, and any shares of our common stock to be sold pursuant to this prospectus will be fully paid and nonassessable. The holders of common stock have no preferences or rights of conversion, exchange, pre-emption, or other subscription rights. There are no redemption or sinking fund provisions applicable to our common stock. In the event of any liquidation, dissolution or winding-up of our affairs, holders of our common stock will be entitled to share ratably in our assets that are remaining after payment or provision for payment of all of our debts and obligations and after liquidation payments to holders of outstanding shares of preferred stock,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Equinity Trust Company, LLC. The transfer agent and the registrar’s address is 48 Wall St., Floor 23, New York, NY 10005. Our common stock is listed on The Nasdaq Capital Market under the symbol “SINT.”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the authority under our Amended and Restated Certificate of Incorporation, without further action by our stockholders, to issue up to 130,000,000 shares of preferred stock in one or more series, to establish from time to time the number of shares to be included in each such series, to fix the rights, preferences, privileges and restrictions of the shares of each wholly unissued series, including dividend rights, conversion rights, voting rights, terms of redemption, liquidation preference and sinking fund terms, and to increase or decrease the number of shares of any such series (but not below the number of shares of such series then outstanding).</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may authorize the issuance of preferred stock with voting or conversion rights that could have the effect of restricting dividends on our common stock, diluting the voting power of our common stock, impairing the liquidation rights of our common stock or otherwise adversely affecting the rights of holders of our common stock. The issuance of preferred stock, while providing flexibility in connection with possible acquisitions and other corporate purposes, could, among other things, have the effect of delaying, deferring or preventing a change of control and may adversely affect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B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designated 15,000 shares of our preferred stock as Series B Preferred Stock. As of June 30, 2026, there were 19 shares of Series B Preferred stock outstanding which are convertible into 7,385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 Preferred Stock is convertible into shares of our common stock at any time at the holder’s option at the Conversion Price described below. We may not effect any conversion of Series B Preferred Stock, with certain exceptions, to the extent that, after giving effect to an attempted conversion, the holder of Series B Preferred Stock (together with such holder’s affiliates, and any persons acting as a group together with such holder or any of such holder’s affiliates) would beneficially own a number of shares of common stock in excess of 4.99% (or, at the election of the holder, 9.99%) of the shares of our common stock then outstanding after giving effect to such conversion, referred to as the Preferred Stock Beneficial Ownership Limitation; provided, however, that upon notice to the Company, the holder may increase or decrease the Preferred Stock Beneficial Ownership Limitation, provided that in no event may the Preferred Stock Beneficial Ownership Limitation exceed 9.99% and any increase in the Preferred Stock Beneficial Ownership Limitation will not be effective until 61 days following notice of such increase from the holder to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ownership limitations as described below and certain equity conditions being met, if during any 30 consecutive trading days, the volume weighted average price of our common stock exceeds $13,060.80 and the daily dollar trading volume during such period exceeds $500,000 per trading day, we have the right to force the conversion of the Series B Preferred Stock into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 is convertible into shares of common stock by dividing the stated value of the Series B Preferred Stock ($1,100) by $2.83 (the “Conversion Price”). The Conversion Price is subject to adjustment for stock splits, stock dividends, and distributions of common stock or securities convertible, exercisable or exchangeable for common stock, subdivisions, combinations and 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exclusions contained in the certificate of designation, if the Company in any manner grants or sells any rights, warrants or options and the lowest price per share for which one share of common stock is at any time issuable upon the exercise of any such option or upon conversion, exercise or exchange of any common stock Equivalents (as defined in the certificate of designation) issuable upon exercise of any such option, exercise or exchange of any common stock Equivalent issuable upon the exercise of such option or otherwise pursuant to the terms thereof is less than the Conversion Price, then such share of common stock will be deemed to be outstanding and to have been issued and sold by the Company at the time of the granting or sale of such option for such price per share. For purposes of this paragraph only, the “lowest price per share for which one share of common stock is issuable upon the exercise of any such options or upon conversion, exercise or exchange of any common stock Equivalent issuable upon exercise of any such option or otherwise pursuant to the terms thereof” will be equal to (1) the lower of  (x) the sum of the lowest amounts of consideration (if any) received or receivable by the Company with respect to any one share of common stock upon the granting or sale of such option, upon exercise of such option and upon conversion, exercise or exchange of any common stock Equivalents issuable upon exercise of such option or otherwise pursuant to the terms thereof and (y) the lowest exercise price set forth in such option for which one share of common stock is issuable upon the exercise of any such options or upon conversion, exercise or exchange of any common stock Equivalents issuable upon exercise of any such option or otherwise pursuant to the terms thereof. Except as contemplated by the terms of the certificate of designation, no further adjustment of the Conversion Price will be made upon the actual issuance of such shares of common stock or of such convertible securities upon the exercise of such options or otherwise pursuant to the terms of or upon the actual issuance of such common stock Equivalents.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exclusions contained in the certificate of designation, if the Company in any manner issues or sells any common stock Equivalents and the lowest price per share for which one share of common stock is at any time issuable upon the conversion, exercise or exchange thereof or otherwise pursuant to the terms thereof is less than the Conversion Price, then such share of common stock will be deemed to be outstanding and to have been issued and sold by the Company at the time of the issuance or sale of such convertible securities for such price per share. For purposes of this paragraph only, the “lowest price per share for which one share of common stock is issuable upon the conversion, exercise or exchange thereof or otherwise pursuant to the terms thereof” will be equal to (1) the lower of  (x) the sum of the lowest amounts of consideration (if any) received or receivable by the Company with respect to one share of common stock upon the issuance or sale of the common stock Equivalent and upon conversion, exercise or exchange of such convertible security or otherwise pursuant to the terms thereof and (y) the lowest conversion price set forth in such convertible security for which one share of common stock is issuable upon conversion, exercise or exchange thereof or otherwise pursuant to the terms thereof minus (2) the sum of all amounts paid or payable to the holder of such common stock Equivalent (or any other person) upon the issuance or sale of such common stock Equivalent plus the value of any other consideration received or receivable by, or benefit conferred on, the holder of such common stock Equivalent (or any other person). Except as contemplated by the terms of the certificate of designation, no further adjustment of the Conversion Price will be made upon the actual issuance of such shares of common stock upon conversion, exercise or exchange of such common stock Equivalents or otherwise pursuant to the terms thereof, and if any such issuance or sale of such common stock Equivalents is made upon exercise of any options for which adjustment of the Conversion Price has been or is to be made, except as contemplated by the terms of the certificate of designation, no further adjustment of the Conversion Price will be made by reason of such issuance 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(other than proportional changes in conversion or exercise prices, as applicable, in connection with stock dividends, splits or combination of outstanding common stock) the Conversion Price in effect at the time of such increase or decrease will be adjusted to the Conversion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 If the terms of any option or convertible security that was outstanding as of the date of issuance of the Preferred Stock and related warrants are increased or decreased in the manner described in the immediately preceding sentence, then such option or convertible security and the shares of common stock deemed issuable upon exercise, conversion or exchange thereof will be deemed to have been issued as of the date of such increase or decrease. No adjustment will be made if such adjustment would result in an increase of the Conversion Price then in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option and/or convertible security and/or Adjustment Right is issued in connection with the issuance or sale or deemed issuance or sale of any other securities of the Company (as determined by the holder of Preferred Stock, the “Primary Security”, and such option and/or convertible security and/or Adjustment Right (as defined below), the “Secondary Securities” and together with the Primary Security, each a “unit”), together comprising one integrated transaction, the aggregate consideration per share of common stock with respect to such Primary Security will be deemed to be the lower of  (x) the purchase price of such unit, (y) if such Primary Security is an option and/or convertible security, the lowest price per share for which one share of common stock is at any time issuable upon the exercise or conversion of the Primary Security in accordance with the paragraphs above and (z) the lowest volume-weighted average price of the common stock on any trading day during the four trading day period immediately following the public announcement of such dilutive issuance. If any shares of common stock, options or convertible securities are issued or sold or deemed to have been issued or sold for cash, the consideration received therefor will be deemed to be the net amount of consideration received by the Company therefor. If any shares of common stock, options or convertible securities are issued or sold for a consideration other than cash, the amount of such consideration received by the Company will be the fair value of such consideration, except where such consideration consists of publicly traded securities, in which case the amount of consideration received by the Company for such securities will be the arithmetic average of the volume-weighted average prices of such security for each of the five (5) trading days immediately preceding the date of receipt. If any shares of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of the non-surviving entity as is attributable to such shares of common stock, options or convertible securities (as the case may be). The fair value of any consideration other than cash or publicly traded securities will be determined jointly by the Company and the holder. If such parties are unable to reach agreement within ten (10) days after the occurrence of an event requiring valuation (the “Valuation Event”), the fair value of such consideration will be determined within five trading days after the tenth day following such Valuation Event by an independent, reputable appraiser jointly selected by the Company and the holder.</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Adjustment Right” means any right granted with respect to any securities issued in connection with, or with respect to, any issuance or sale (or deemed issuance or sale in accordance with the paragraph above) of shares of common stock that could result in a decrease in the net consideration received by the Company in connection with, or with respect to, such securities (including, without limitation, any cash settlement rights, cash adjustment or other similar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holders of Preferred Stock may be eligible to elect an alternative price in the event we issue certain variable price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Dividends;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liquidation, the holders of Series B Preferred Stock are entitled to participate on an as-converted-to-common stock basis with holders of the common stock in any distribution of assets of the Company to the holders of the common stock. Additionally, we will not pay any dividends on shares of common stock (other than dividends in the form of common stock) unless and until such time as we pay dividends on each Series B Preferred Share on an as-converted basis. Other than as set forth in the previous sentence, no other dividends will be paid on Series B Preferred Stock and we will pay no dividends (other than dividends in the form of common stock) on shares of common stock unless we simultaneously comply with the previous sentence.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Right.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holds an option to redeem some or all of the Series B Preferred Stock at any time after the six-month anniversary of its issuance date at a 25% premium to the stated value of the Series B Preferred Stock subject to redemption, upon 30 days prior written notice to the holder of the Series B Preferred Stock. The Series B Preferred Stock would be redeemed by the Company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fundamental transaction, generally including any merger with or into another entity, sale of all or substantially all of our assets, tender offer or exchange offer, or reclassification of our common stock, then upon any subsequent conversion of the Series B Preferred Stock, the holder will have the right to receive as alternative consideration, for each share of our common stock that would have been issuable upon such conversion immediately prior to the occurrence of such fundamental transaction, the number of shares of common stock of the successor or acquiring corporation or of our company, if it is the surviving corporation, and any additional consideration receivable upon or as a result of such transaction by a holder of the number of shares of our common stock for which the Series B Preferred Stock is convertible immediately prior to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certain exceptions, the holders of shares of Series B Preferred Stock have no voting rights. However, as long as any shares of Series B Preferred Stock remain outstanding, we may not, without the affirmative vote of holders of a majority of the then-outstanding Series B Preferred Stock, (a) alter or change adversely the powers, preferences or rights given to the Series B Preferred Stock or alter or amend the certificate of designation, (b) increase the number of authorized shares of Series B Preferred Stock, (c) amend our Amended and Restated Certificate of Incorporation or other charter documents in any manner that adversely affects any rights of holders of Series B Preferred Stock disproportionately to the rights of holders of our other capital stock, or (d) enter into any agreement with respect to any of the foregoing.</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Jurisdiction and Waiver of Trial by 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suits, actions or proceedings arising under the federal securities laws, the certificate of designation provides for investors to consent to exclusive jurisdiction to courts located in New York, New York and provides for a waiver of the right to a trial by jury. It also provides that disputes are governed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Series C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designated 9,440 shares of our preferred stock as Series C Preferred Stock. As of June 30, 2026, there were 50 shares of Series C Preferred stock outstanding which are convertible into 2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share of Series C Preferred Stock will be convertible at our option at any time on or after the first anniversary of the expiration of the Rights Offering or at the option of the holder at any time, into the number of shares of our common stock determined by dividing the $1,000 stated value per share of the Series C Preferred Stock by a conversion price of $ 29,628.00 per share. In addition, the conversion price per share is subject to adjustment for stock dividends, distributions, subdivisions, combinations or reclassifications. Subject to limited exceptions, a holder of the Series C Preferred Stock will not have the right to convert any portion of the Series C Preferred Stock to the extent that, after giving effect to the conversion, the holder, together with its affiliates, would beneficially own in excess of 4.99% of the number of shares of our common stock outstanding immediately after giving effect to its conversion. A holder of the Series C Preferred Stock, upon notice to the Company, may increase or decrease the beneficial ownership limitation provisions of such holder’s Series C Preferred Stock, provided that in no event shall the limitation exceed 9.99% of the number of shares of our common stock outstanding immediately after giving effect to its conversion. In the event that a conversion is effected at our option, we will exercise such option to convert shares of Series C Preferred Stock on a pro rata basis among all of the holders based on such holders’ shares of 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Fundamental Transactions. </w:t>
      </w:r>
      <w:r>
        <w:rPr>
          <w:rFonts w:ascii="Times New Roman;Times;Serif" w:hAnsi="Times New Roman;Times;Serif"/>
          <w:b w:val="false"/>
          <w:i w:val="false"/>
          <w:caps w:val="false"/>
          <w:smallCaps w:val="false"/>
          <w:sz w:val="20"/>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Series C Preferred Stock, the holders of the Series C Preferred Stock will have the right to receive any shares of the acquiring corporation or other consideration it would have been entitled to receive if it had been a holder of the number of shares of common stock then issuable upon conversion in full of the Series C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Holders of Series C Preferred Stock shall be entitled to receive dividends (on an as-if-converted-to-common-stock basis) in the same form as dividends actually paid on shares of the common stock when, as and if such dividends are paid on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Except as otherwise provided in the certificate of designation or as otherwise required by law, the Series C Preferred Stock has no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Preference. </w:t>
      </w:r>
      <w:r>
        <w:rPr>
          <w:rFonts w:ascii="Times New Roman;Times;Serif" w:hAnsi="Times New Roman;Times;Serif"/>
          <w:b w:val="false"/>
          <w:i w:val="false"/>
          <w:caps w:val="false"/>
          <w:smallCaps w:val="false"/>
          <w:sz w:val="20"/>
        </w:rPr>
        <w:t>Upon our liquidation, dissolution or winding-up, whether voluntary or involuntary, holders of Series C Preferred Stock will be entitled to receive out of our assets, whether capital or surplus, the same amount that a holder of common stock would receive if the Series C Preferred Stock were fully converted (disregarding for such purpose any conversion limitations under the certificate of designation) to common stock, which amounts shall be paid pari passu with all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Rights. </w:t>
      </w:r>
      <w:r>
        <w:rPr>
          <w:rFonts w:ascii="Times New Roman;Times;Serif" w:hAnsi="Times New Roman;Times;Serif"/>
          <w:b w:val="false"/>
          <w:i w:val="false"/>
          <w:caps w:val="false"/>
          <w:smallCaps w:val="false"/>
          <w:sz w:val="20"/>
        </w:rPr>
        <w:t>We are not obligated to redeem or repurchase any shares of Series C Preferred Stock. Shares of Series C Preferred Stock are not otherwise entitled to any redemption rights, or mandatory sinking fund or analogous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designated 4,656 shares of our preferred stock as Series D Preferred Stock. As of June 30, 2026, there were 180 shares of Series D Preferred stock outstanding which are convertible into 60 shares of our common stock.</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share of Series D Preferred Stock is convertible at the option of the holder at any time, into the number of shares of our common stock determined by dividing the $1,000 stated value per share of the Series D Preferred Stock by a conversion price of $ 3,020.40 per share. In addition, the conversion price per share is subject to adjustment for stock dividends, distributions, subdivisions, combinations or reclassifications. Subject to limited exceptions, a holder of the Series D Preferred Stock will not have the right to convert any portion of the Series D Preferred Stock to the extent that, after giving effect to the conversion, the holder, together with its affiliates, would beneficially own in excess of 4.99% of the number of shares of our common stock outstanding immediately after giving effect to its conversion. A holder of the Series D Preferred Stock, upon notice to us, may increase or decrease the beneficial ownership limitation provisions of such holder’s Series D Preferred Stock, provided that in no event shall the limitation exceed 9.99% of the number of shares of our common stock outstanding immediately after giving effect to its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Fundamental Transactions. </w:t>
      </w:r>
      <w:r>
        <w:rPr>
          <w:rFonts w:ascii="Times New Roman;Times;Serif" w:hAnsi="Times New Roman;Times;Serif"/>
          <w:b w:val="false"/>
          <w:i w:val="false"/>
          <w:caps w:val="false"/>
          <w:smallCaps w:val="false"/>
          <w:sz w:val="20"/>
        </w:rPr>
        <w:t>In the event we effect certain mergers, consolidations, sales of substantially all of our assets, tender or exchange offers, reclassifications or share exchanges in which our common stock is effectively converted into or exchanged for other securities, cash or property, we consummate a business combination in which another person acquires 50% of the outstanding shares of our common stock, or any person or group becomes the beneficial owner of 50% of the aggregate ordinary voting power represented by our issued and outstanding common stock, then, upon any subsequent conversion of the Series D Preferred Stock, the holders of the Series D Preferred Stock will have the right to receive any shares of the acquiring corporation or other consideration it would have been entitled to receive if it had been a holder of the number of shares of common stock then issuable upon conversion in full of the Series 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Holders of Series D Preferred Stock shall be entitled to receive dividends (on an as-if-converted-to-common-stock basis) in the same form as dividends actually paid on shares of the common stock when, as and if such dividends are paid on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Voting Rights. </w:t>
      </w:r>
      <w:r>
        <w:rPr>
          <w:rFonts w:ascii="Times New Roman;Times;Serif" w:hAnsi="Times New Roman;Times;Serif"/>
          <w:b w:val="false"/>
          <w:i w:val="false"/>
          <w:caps w:val="false"/>
          <w:smallCaps w:val="false"/>
          <w:sz w:val="20"/>
        </w:rPr>
        <w:t>Except as otherwise provided in the certificate of designation or as otherwise required by law, the Series D Preferred Stock has no 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Preference. </w:t>
      </w:r>
      <w:r>
        <w:rPr>
          <w:rFonts w:ascii="Times New Roman;Times;Serif" w:hAnsi="Times New Roman;Times;Serif"/>
          <w:b w:val="false"/>
          <w:i w:val="false"/>
          <w:caps w:val="false"/>
          <w:smallCaps w:val="false"/>
          <w:sz w:val="20"/>
        </w:rPr>
        <w:t>Upon our liquidation, dissolution or winding-up, whether voluntary or involuntary, holders of Series D Preferred Stock will be entitled to receive out of our assets, whether capital or surplus, the same amount that a holder of common stock would receive if the Series D Preferred Stock were fully converted (disregarding for such purpose any conversion limitations under the certificate of designation) to common stock, which amounts shall be paid pari passu with all holders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Redemption Rights. </w:t>
      </w:r>
      <w:r>
        <w:rPr>
          <w:rFonts w:ascii="Times New Roman;Times;Serif" w:hAnsi="Times New Roman;Times;Serif"/>
          <w:b w:val="false"/>
          <w:i w:val="false"/>
          <w:caps w:val="false"/>
          <w:smallCaps w:val="false"/>
          <w:sz w:val="20"/>
        </w:rPr>
        <w:t>We are not obligated to redeem or repurchase any shares of Series D Preferred Stock. Shares of Series D Preferred Stock are not otherwise entitled to any redemption rights, or mandatory sinking fund or analogous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Future 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will fix the rights, preferences, privileges, qualifications and restrictions of the preferred stock of each series that we may sell. 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Other Outstanding Securities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New Warrants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Company and the selling stockholder finalized execution of the Letter Agreement providing for the disposition of 507,254 shares of common stock held in abeyance following the Company’s September 2025 warrant inducement transaction, and to cancel and replace an existing warrant held by the selling stockholder. The Company and the selling stockholder agreed that (i) the Company would promptly issue to the selling stockholder 255,267 shares of common stock from abeyance (the “Released Shares”) for no additional consideration, as the applicable consideration was previously paid; (ii) the remaining 251,987 abeyance shares will be replaced by a pre-funded common stock purchase warrant covering the same number of shares (the “June 2026 Pre-Funded Warrant”), also for no additional consideration; and (iii) the selling stockholder’s existing September 2025 warrant to purchase 760,881 shares will be cancelled and replaced with New Warrants to purchase 1,268,135 shares at $2.14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June 2026 Pre-Funded Warrant has no fixed expiration date and remains outstanding until exercised in full. The exercise price was pre-funded in full in connection with the September 2025 warrant inducement transaction, so no additional cash consideration is required upon exercise. The June 2026 Pre-Funded Warrant is exercisable via a cashless mechanism and is subject to a 9.99% beneficial ownership limitation. Standard adjustment provisions apply for stock splits, dividends, and 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Warrants expire five years from the date of issuance. The New Warrants are exercisable for cash or, if no effective registration statement is available after 90 days, by cashless exercise, and is subject to a 9.99% beneficial ownership limitation. The exercise price is subject to full-ratchet downward adjustment in any dilutive equity financing, subject to stockholder approval to the extent required by Nasdaq Listing Rule 5635(d). Standard anti-dilution and fundamental transaction provisions also apply.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June 2026 Pre-Funded Warrant and the New Warrants does not purport to be complete and is qualified in its entirety by reference to the forms of June 2026 Pre-Funded Warrant and New Warrants filed as exhibits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11, 2026, including the New Warrants, there were 7,226,888 common stock purchase warrants outstanding, which expire between September 2027 and July 2031. Each of these warrants entitles the holder to purchase one share of common stock at prices ranging between $2.14 and $3,322.40 per share. Certain of these warrants have a net exercise provision under which its holder may, in lieu of payment of the exercise price in cash, surrender the warrant and receive a net amount of shares based on the fair market value of our common stock at the time of exercise of the warrant after deduction of the aggregate exercise price. Additionally, certain of these warrants entitle a holder to also effect an “alternative cashless exercise” wherein the holder may surrender a certain number of warrants in return for a lesser number of shares of our common stock on a cashless basis. Each of these warrants also contains provisions for the adjustment of the exercise price and the aggregate number of shares issuable upon the exercise of the warrant in the event of dividends, share splits, reorganizations and reclassifications and consolidations. Certain of these warrants contain a provision requiring a reduction to the exercise price in the event we issue common stock, or securities convertible into or exercisable for common stock, at a price per share lower than the warrant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certain of these warrants have registration rights, as described in greater detail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Class A Warrants, Class B Warrants, and Placement Agent Warrants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in June 2026, the Company issued (x) 1,882,846 units consisting of (i) 1,882,846 shares of our common stock; (ii) 1,882,846 shares (the “Class A Warrant Shares”) issuable upon the exercise of Class A common stock purchase warrant to purchase shares of our common stock (the “Class A Warrants”), and (iii) 1,882,846 shares (the “Class B Warrant Shares”) issuable upon the exercise of Class B common stock purchase warrant to purchase shares of our common stock (the “Class B Warrants”), (y) 78,212 shares of common stock issued to a certain financial advisor (or its designees) as compensation for financial advisory and referral services rendered in connection with the Private Placement (as defined below) (the “Compensation Shares”), and (z) 92,573 shares (the “Placement Agent Warrant Shares” and together with the Class A Warrant Shares and the Class B Warrant Shares, the “Warrant Shares”) issuable upon the exercise of placement agent common stock purchase warrants to purchase shares of our common stock (the “Placement Agent Warrants” and together with the Class A Warrants and Class B Warrants, the “Warrants”). Each Class A Warrant becomes exercisable upon issuance, has an exercise price equal to $2.14 per share, subject to adjustment as provided therein, and expires on the fifth anniversary of its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Warrants contain customary anti-dilution adjustments for stock splits, stock dividends and similar events. In addition, subject to compliance with applicable Nasdaq rules and stockholder approval requirements, the exercise price of the Class A Warrants is subject to adjustment if the Company issues common stock or Common Stock Equivalents in certain future equity financing transactions at a price below the then-current exercise price. The Class A Warrants also contain customary provisions relating to fundamental transactions, including mergers, consolidations, sales of substantially all assets and similar transactions. Holders may exercise the warrants on a cashless basis under certain circumstances. The Class A Warrants are also subject to beneficial ownership limitations of 4.99% or 9.99%, at the election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issued Class B Warrants to purchase an aggregate of 1,882,846 shares of common stock. The Class B Warrants are immediately exercisable, have an exercise price of $2.14 per share, subject to adjustment as provided therein, and expire on the second anniversary of the initial exercise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B Warrants contain customary anti-dilution adjustments for stock splits, stock dividends and similar events. In addition, subject to compliance with applicable Nasdaq rules and stockholder approval requirements, the exercise price of the Class B Warrants is subject to an adjustment if the Company completes certain future equity financings at a price below the then-current exercise price. The Class B Warrants also contain customary provisions relating to fundamental transactions, including mergers, consolidations and sales of substantially all of the Company’s assets. Under certain circumstances, holders may exercise the Class B Warrants on a cashless basis. The Class B Warrants are also subject to beneficial ownership limitations of 4.99% or 9.99%, at the election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upon the occurrence of specified revenue milestones, the Company may require holders to exercise all or a portion of their then-outstanding Class B Warrants. Specifically, if the Company reports quarterly revenue of at least $2.0 million in a fiscal quarter, as evidenced in a Quarterly Report on Form 10-Q, Annual Report on Form 10-K, or certain Current Reports on Form 8-K, the Company may deliver a notice requiring the holder to exercise all or a specified portion of the outstanding Class B Warrants within five business days. Any portion of the called warrants not timely exercised would automatically expire without consideration, subject to the warrant’s beneficial ownership limitations.</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agreed to issue to H.C. Wainwright, or its designees, Placement Agent Warrants to purchase an aggregate of 92,573 shares of common stock. Each Placement Agent Warrant is immediately exercisable, has an exercise price equal to $2.9875 per share, subject to adjustment as provided therein, and expires on the fifth anniversary of its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contain customary anti-dilution adjustments for stock splits, stock dividends and similar events. In addition, subject to compliance with applicable Nasdaq rules and stockholder approval requirements, the exercise price of the Placement Agent Warrants is subject to an adjustment if the Company completes certain future equity financings at a price below the then-current exercise price. The Placement Agent Warrants also contain customary provisions relating to fundamental transactions, including mergers, consolidations and sales of substantially all of the Company’s assets. Under certain circumstances, holders may exercise the Placement Agent Warrants on a cashless basis. The Placement Agent Warrants are also subject to beneficial ownership limitations of 4.99% or 9.99%, at the election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w:t>
      </w:r>
      <w:r>
        <w:rPr>
          <w:rFonts w:ascii="Times New Roman;Times;Serif" w:hAnsi="Times New Roman;Times;Serif"/>
          <w:b w:val="false"/>
          <w:i w:val="false"/>
          <w:caps w:val="false"/>
          <w:smallCaps w:val="false"/>
          <w:sz w:val="20"/>
        </w:rPr>
        <w:t>. Upon the occurrence of a Fundamental Transaction (such as a merger, change of control, or sale of substantially all assets, as defined in the warrants), the successor entity is required to assume all obligations under the warrants and must be a publicly traded corporation. Notwithstanding such assumption, a holder has the right to require the Company or its successor to purchase the unexercised portion of the warrant at a purchase price equal to its Black-Scholes Value, provided that the holder delivers a written request within 90 days after the public disclosure of the consummation of such transaction. Pursuant to the terms of the warrants, the Black-Scholes Value will be determined as of the consummation date based on the Black-Scholes Option Pricing Model, reflecting specified pricing inputs including a risk-free interest rate based on U.S. Treasury rates, an expected volatility based on the greater of historical 30-day or 100-day volatilities, a zero cost of borrow, and an underlying share price based on the highest volume-weighted average price during the period around the public announcement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Class A Warrants and Class B Warrants does not purport to be complete and is qualified in its entirety by reference to the forms of Class A Warrant and Class B Warrant filed as exhibits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2025 Warrant Inducement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entered into an inducement agreement (the “Inducement Letter”) with certain holders of certain of the Company’s existing warrants to purchase up to an aggregate of 1,099,431 shares of the Company’s common stock originally issued on February 25, 2025, with a five and one-half (5.5) years term at an exercise price of $3.32 per share. Pursuant to the Inducement Letter, the warrant holders agreed to exercise for cash the existing warrants to purchase an aggregate of 1,099,431 shares of the Company’s common stock at an exercise price of $3.32 per share in consideration of the Company’s agreement to issue new common stock purchase warrants to purchase up to an aggregate of 1,649,147 shares of the Company’s common stock at an exercise price of $4.79 per share (the “2025 Warrant Inducement Warrant”). In addition, the warrant holders agreed to pay $0.125 per new warrant as consideration for the issuance of the new warrants. The Company received aggregate gross proceeds of approximately $3.8 million from the exercise of the existing warrants by the warrant holder, before deducting placement agent fees and other offering expenses payable by the Company (the “2025 Warrant Inducement”). In connection with the 2025 Warrant Inducement, the Company also issued placement agent warrants (the “2025 Warrant Inducement Placement Agent Warrants” and together with the 2025 Warrant Inducement Warrant, the “2025 Inducement Warrants”) to purchase an aggregate of up to 92,392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Warrant Inducement Warrant are exercisable immediately upon issuance and have a term of exercise equal to five and one-half years from the date of issuance. If a registration statement registering the resale of the shares of common stock underlying the 2025 Warrant Inducement Warrant under the Securities Act, is not effective or available, the holder may, in its sole discretion, elect to exercise the 2025 Warrant Inducement Warrant through a cashless exercise, in which case the holder would receive upon such exercise the net number of shares of common stock determined according to the formula set forth in the 2025 Warrant Inducement Warrant. No fractional shares of common stock will be issued upon the exercise of any 2025 Warrant Inducement Warrant. In lieu of fractional shares, we will pay the holder an amount in cash equal to the fractional amount multiplied by the exercise price or round up to the next whole share.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2025 Warrant Inducement Placement Agent Warrants will be exercisable immediately upon issuance and have a term of exercise equal to five and one-half years from the date of issuance. If a registration statement registering the resale of the shares of common stock underlying the 2025 Warrant Inducement Placement Agent Warrants under the Securities Act, is not effective or available, the holder may, in its sole discretion, elect to exercise the 2025 Warrant Inducement Placement Agent Warrants through a cashless exercise, in which case the holder would receive upon such exercise the net number of shares of common stock determined according to the formula set forth in the 2025 Warrant Inducement Placement Agent Warrants. No fractional shares of common stock will be issued upon the exercise of any 2025 Warrant Inducement Placement Agent Warrant. In lieu of fractional shares, we will pay the holder an amount in cash equal to the fractional amount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w:t>
      </w:r>
      <w:r>
        <w:rPr>
          <w:rFonts w:ascii="Times New Roman;Times;Serif" w:hAnsi="Times New Roman;Times;Serif"/>
          <w:b w:val="false"/>
          <w:i w:val="false"/>
          <w:caps w:val="false"/>
          <w:smallCaps w:val="false"/>
          <w:sz w:val="20"/>
        </w:rPr>
        <w:t>. If a Fundamental Transaction (as defined in the respective 2025 Inducement Warrants) occurs, then the successor entity will succeed to, and be substituted for the Company, and may exercise every right and power that the Company may exercise and will assume all of the Company’s obligations under the 2025 Inducement Warrants with the same effect as if such successor entity had been named in the 2025 Inducement Warrants itself. If holders of shares of common stock are given a choice as to the securities, cash or property to be received in such a Fundamental Transaction, then the holder shall be given the same choice as to the consideration it would receive upon any exercise of the 2025 Inducement Warrants following such a Fundamental Transaction. Additionally, as more fully described in the 2025 Warrant Inducement Warrant and 2025 Warrant Inducement Placement Agent Warrants, in the event of certain Fundamental Transactions, the holders of the 2025 Warrant Inducement Warrant and 2025 Warrant Inducement Placement Agent Warrants will be entitled to receive consideration in an amount equal to the Black Scholes Value (as defined in the respective 2025 Inducement Warrants), on the date of consummation of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Stock Dividends and Splits</w:t>
      </w:r>
      <w:r>
        <w:rPr>
          <w:rFonts w:ascii="Times New Roman;Times;Serif" w:hAnsi="Times New Roman;Times;Serif"/>
          <w:b w:val="false"/>
          <w:i w:val="false"/>
          <w:caps w:val="false"/>
          <w:smallCaps w:val="false"/>
          <w:sz w:val="20"/>
        </w:rPr>
        <w:t>. If at any time on or after the date of issuance there occurs any share split, share dividend, share combination recapitalization or other similar transaction involving our 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the 2025 Inducement Warrants shall be proportionately adjusted such that the aggregate exercise price of the 2025 Inducement Warrants shall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2025 Inducement Warrants is not complete. For the complete terms of the 2025 Inducement Warrants, you should refer to the forms of the 2025 Warrant Inducement Warrant and 2025 Warrant Inducement Placement Agent Warrants filed as an exhibit to the registration statement of which this prospectus forms a part.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February 2025 Offering Pre-Funded Warrants, Placement Agent Warrants and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2025, the Company completed a private placement pursuant to which, among other matters, it issued pre-funded warrants to purchase shares of its common stock (the “February 2025 Pre-Funded Warrants”). As of August 11, 2026, there are 129,170 February 2025 Pre-Funded Warrants outstanding that are immediately exercisable and may be exercised at any time until all of the pre-funded warrants are exercised in full.  The February 2025 Pre-Funded Warrants may be exercised on a cashless basis at any time, in which case the holder would receive upon such exercise the net number of shares of common stock determined according to the formula set forth in the February 2025 Pre-Funded Warrants. No fractional shares of common stock will be issued in connection with the exercise of a February 2025 Pre-Funded Warrant. In lieu of fractional shares, we will pay the holder an amount in cash equal to the fractional amount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warrants issued in February 2025 were exercisable immediately upon issuance and have a term of exercise equal to five and one-half years from the date of issuance (the “February 2025 Placement Agent Warrants”). If a registration statement registering the resale of the shares of common stock underlying the February 2025 Placement Agent Warrants under the Securities Act, is not effective or available, the holder may, in its sole discretion, elect to exercise the February 2025 Placement Agent Warrants through a cashless exercise, in which case the holder would receive upon such exercise the net number of shares of common stock determined according to the formula set forth in the February 2025 Placement Agent Warrants. No fractional shares of common stock will be issued upon the exercise of any February 2025 Placement Agent Warrant. In lieu of fractional shares, we will pay the holder an amount in cash equal to the fractional amount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are exercisable immediately upon issuance and have a term of exercise equal to five and one-half years from the date of issuance (the “February 2025 Common Warrants”). If a registration statement registering the resale of the shares of common stock underlying the February 2025 Common Warrants under the Securities Act, is not effective or available, the holder may, in its sole discretion, elect to exercise the February 2025 Common Warrants through a cashless exercise, in which case the holder would receive upon such exercise the net number of shares of common stock determined according to the formula set forth in the February 2025 Common Warrants. No fractional shares of common stock will be issued upon the exercise of any February 2025 Common Warrant. In lieu of fractional shares, we will pay the holder an amount in cash equal to the fractional amount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Fundamental Transaction. </w:t>
      </w:r>
      <w:r>
        <w:rPr>
          <w:rFonts w:ascii="Times New Roman;Times;Serif" w:hAnsi="Times New Roman;Times;Serif"/>
          <w:b w:val="false"/>
          <w:i w:val="false"/>
          <w:caps w:val="false"/>
          <w:smallCaps w:val="false"/>
          <w:sz w:val="20"/>
        </w:rPr>
        <w:t>If a Fundamental Transaction (as defined in the respective February 2025 Common Warrants) occurs, then the successor entity will succeed to, and be substituted for the Company, and may exercise every right and power that the Company may exercise and will assume all of the Company’s obligations under the February 2025 Common Warrants with the same effect as if such successor entity had been named in the February 2025 Common Warrants itself. If holders of shares of common stock are given a choice as to the securities, cash or property to be received in such a Fundamental Transaction, then the holder shall be given the same choice as to the consideration it would receive upon any exercise of the February 2025 Common Warrants following such a Fundamental Transaction. Additionally, as more fully described in the February 2025 Common Warrants and February 2025 Placement Agent Warrants, in the event of certain Fundamental Transactions, the holders of the February 2025 Common Warrants and February 2025 Placement Agent Warrants will be entitled to receive consideration in an amount equal to the Black Scholes Value (as defined in the respective Warrants), on the date of consummation of such Fundamental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Stock Dividends and Splits. </w:t>
      </w:r>
      <w:r>
        <w:rPr>
          <w:rFonts w:ascii="Times New Roman;Times;Serif" w:hAnsi="Times New Roman;Times;Serif"/>
          <w:b w:val="false"/>
          <w:i w:val="false"/>
          <w:caps w:val="false"/>
          <w:smallCaps w:val="false"/>
          <w:sz w:val="20"/>
        </w:rPr>
        <w:t>If at any time on or after the date of issuance there occurs any share split, share dividend, share combination recapitalization or other similar transaction involving our common stock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the February 2025 Common Warrant shall be proportionately adjusted such that the aggregate exercise price of the February 2025 Common Warrant shall remain unchanged.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Beneficial Ownership Limitations. </w:t>
      </w:r>
      <w:r>
        <w:rPr>
          <w:rFonts w:ascii="Times New Roman;Times;Serif" w:hAnsi="Times New Roman;Times;Serif"/>
          <w:b w:val="false"/>
          <w:i w:val="false"/>
          <w:caps w:val="false"/>
          <w:smallCaps w:val="false"/>
          <w:sz w:val="20"/>
        </w:rPr>
        <w:t>A holder will not have the right to exercise any portion of the February 2025 Common Warrants if the holder (together with its affiliates) would beneficially own in excess of 4.99% (or, upon election by a holder prior to the issuance of any warrants, 9.99%) of the number of shares of common stock outstanding immediately after giving effect to the exercise, as such percentage ownership is determined in accordance with the terms of the February 2025 Common Warrants and February 2025 Pre-Funded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February 2025 Pre-Funded Warrants, February 2025 Common Warrants, and February 2025 Placement Agent Warrants is not complete. For the complete terms of the February 2025 Pre-Funded Warrants, February 2025 Common Warrants, and February 2025 Placement Agent Warrants, please refer to the forms of the February 2025 Pre-Funded Warrants, February 2025 Common Warrants, and February 2025 Placement Agent Warrants filed as exhibits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February 2023 Offering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7, 2023, we issued a Class C common stock purchase warrant to purchase up to 10,750 shares of common stock (the “Class C Warrants”) and a Class D common stock purchase warrant to purchase up to 5,375 shares of common stock (the “Class D Warrants”). The Class C and Class D Warrants are exercisable at a price of $1,120 per share. The Class C Warrants will expire five years from the date of issuance and the Class D Warrants will expire three years from the date of issuance. In addition, a holder may also effect an “alternative cashless exercise” wherein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certain terms and provisions of the Class C Warrants, and Class D Warrants is not complete and is subject to, and qualified in its entirety by the provisions of the form of Class C Warrant, and the form of Class D Warrant, which are filed as exhibits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Exercisability</w:t>
      </w:r>
      <w:r>
        <w:rPr>
          <w:rFonts w:ascii="Times New Roman;Times;Serif" w:hAnsi="Times New Roman;Times;Serif"/>
          <w:b w:val="false"/>
          <w:i w:val="false"/>
          <w:caps w:val="false"/>
          <w:smallCaps w:val="false"/>
          <w:sz w:val="20"/>
        </w:rPr>
        <w:t>. The Class C Warrants are exercisable at any time after their original issuance and at any time up to the date that is five years after their original issuance. The Class D Warrants are exercisable at any time after their original issuance and at any time up to the date that is three years after their original issuance. Each of the Class C Warrants, Class D Warrants, are exercisable, at the option of each holder, in whole or in part by delivering to us a duly executed exercise notice and, at any time a registration statement registering the issuance of the shares of common stock underlying the Class C Warrants or Class D Warrants, under the Securities Act is effective and available for the issuance of such shares, by payment in full in immediately available funds for the number of shares of common stock purchased upon such exercise. If a registration statement registering the issuance of the shares of common stock underlying the Class C Warrants, Class D Warrants, under the Securities Act is not effective or available, the holder may, in its sole discretion, elect to exercise the Class C Warrant or Class D Warrant, through a cashless exercise, in which case the holder would receive upon such exercise the net number of shares of common stock determined according to the formula set forth in the warrant. We may be required to pay certain amounts as liquidated damages as specified in the warrants in the event we do not deliver shares of common stock upon exercise of the warrants within the time periods specified in the warrants. In addition, a holder may also effect an “alternative cashless exercise.” In such event, the aggregate number of shares of common stock issuable in such alternative cashless exercise shall equal the product of (x) the aggregate number of shares of common stock that would be issuable upon exercise of the Class C Warrant or Class D Warrant in accordance with the terms of such warrant if such exercise were by means of a cash exercise rather than a cashless exercise and (y) 0.40 with respect to the Class C Warrant or 0.80 with respect to the Class D Warrant. No fractional shares of common stock will be issued in connection with the exercise of a Class C Warrant or Class D Warrant. With respect to any alternative cashless exercise, fractional shares will be rounded down to the nearest whole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xml:space="preserve"> No fractional shares of common stock will be issued in connection with the exercise of a warrant. Other than as described above with respect to alternative cashless exercises, in lieu of fractional shares, we will, at our election, either pay the holder an amount in cash equal to the fractional amount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A holder will not have the right to exercise any portion of the Class C Warrants, or Class D Warrants if the holder (together with its affiliates) would beneficially own in excess of 4.99% (or, upon election by a holder prior to the issuance of any warrants, 9.99%) of the number of shares of our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 with respect to any increase in such percentage.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The exercise price per whole share of common stock purchasable upon exercise of the Class C Warrants and the Class D Warrants is $1,120 per share. The exercise price and number of shares of common stock issuable on exercise are subject to appropriate adjustments in the event of certain stock dividends and distributions, stock splits, stock combinations, reclassifications or similar events affecting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Subject to applicable laws, the Class C Warrants and Class 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Listing</w:t>
      </w:r>
      <w:r>
        <w:rPr>
          <w:rFonts w:ascii="Times New Roman;Times;Serif" w:hAnsi="Times New Roman;Times;Serif"/>
          <w:b w:val="false"/>
          <w:i w:val="false"/>
          <w:caps w:val="false"/>
          <w:smallCaps w:val="false"/>
          <w:sz w:val="20"/>
        </w:rPr>
        <w:t>. We do not intend to list the Class C Warrants or the Class D Warrants on any securities exchange or other trading market. Without an active trading market, the liquidity of these securities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Warrant Agent</w:t>
      </w:r>
      <w:r>
        <w:rPr>
          <w:rFonts w:ascii="Times New Roman;Times;Serif" w:hAnsi="Times New Roman;Times;Serif"/>
          <w:b w:val="false"/>
          <w:i w:val="false"/>
          <w:caps w:val="false"/>
          <w:smallCaps w:val="false"/>
          <w:sz w:val="20"/>
        </w:rPr>
        <w:t>. The Class C Warrants and Class D Warrants are issued in registered form under a warrant agreement between American Stock Transfer &amp; Trust Company, LLC, as warrant agent, and us. The Class C Warrants and Class D Warrants shall initially be represented only by one or more global warrants deposited with the warrant agent, as custodian on behalf of The Depository Trust Company (“DTC”) and registered in the name of Cede &amp; Co., a nominee of DTC, or as otherwise directed by DTC.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and generally including, with certain exceptions, any reorganization, recapitalization or reclassification of our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shares of common stock, the holders of the Class C Warrants and Class D Warrants will be entitled to receive upon exercise of the warrants the kind and amount of securities, cash or other property that the holders would have received had they exercised the warrants immediately prior to such fundamental transaction. In addition, in the event of a fundamental transaction, we or the successor entity, at the request of a holder of Class C Warrants or Class D Warrants, will be obligated to purchase any unexercised portion of such Class C Warrants or Class D Warrants in accordance with the terms of the warrants. Additionally, as more fully described in the warrants, in the event of certain fundamental transactions, the holders of the warrants will be entitled to receive consideration in an amount equal to the Black Scholes value of the warrants on the date of consummation of such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Stockholder</w:t>
      </w:r>
      <w:r>
        <w:rPr>
          <w:rFonts w:ascii="Times New Roman;Times;Serif" w:hAnsi="Times New Roman;Times;Serif"/>
          <w:b w:val="false"/>
          <w:i w:val="false"/>
          <w:caps w:val="false"/>
          <w:smallCaps w:val="false"/>
          <w:sz w:val="20"/>
        </w:rPr>
        <w:t>. Except as otherwise provided in the Class C Warrants and Class D Warrants or by virtue of such holder’s ownership of our shares of common stock, the holder of a Class C Warrant or Class D Warrant does not have the rights or privileges of a holder of our common stock, including any voting rights, until the holder exercises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Governing Law</w:t>
      </w:r>
      <w:r>
        <w:rPr>
          <w:rFonts w:ascii="Times New Roman;Times;Serif" w:hAnsi="Times New Roman;Times;Serif"/>
          <w:b w:val="false"/>
          <w:i w:val="false"/>
          <w:caps w:val="false"/>
          <w:smallCaps w:val="false"/>
          <w:sz w:val="20"/>
        </w:rPr>
        <w:t>. The Class C Warrants, Class D Warrants, and warrant agreement are governed by New York law.</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 and Ascendiant February 2023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February 2023 Offering, the Company issued (i) to Maxim Group LLC (“Maxim”), as the Company’s sole placement agent for the February 2023 Offering, 366 warrants to purchase shares of the Company’s common stock and (ii) to Ascendiant Capital Markets, LLC (“Ascendiant”), as a financial advisor to the Company in the February 2023 Offering, 65 warrants to purchase shares of the Company’s common stock (collectively, the “February 2023 Placement Agent Warrants”). The February 2023 Placement Agent Warrants will expire on February 7, 2028. The February 2023 Placement Agent Warrants are exercisable at a price of $1,232 per share, subject to adjustment for stock dividends, distributions, subdivisions, combinations, or reclassifications, and for certain dilutive issuances. Subject to limited exceptions, a holder of the February 2023 Placement Agent Warrants will not have the right to exercise any portion of the Placement Agent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February 2023 Placement Agent Warrants, provided that in no event shall the limitation exceed 9.99% of the number of shares of our common stock outstanding immediately after giving effect to the exercise of the February 2023 Placement Agent Warrants. The February 2023 Placement Agent Warrants may be exercised as to all or a lesser number of shares of the Company’s common stock and contain certain demand registration rights and unlimited “piggyback” registration rights for a period of five years after February 7, 2023, at the Company’s expense. The Company relied on the exemption from registration available under Section 4(a)(2) of the Securities Act in connection with the issuance of the February 2023 Placement Agent Warrants to Maxim and Ascendiant.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February 2023 Placement Agent Warrants is not complete. For the complete terms of the Placement Agent Warrants, you should refer to the form of February 2023 Placement Agent Warrant filed as an exhibit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Maxim and Ascendiant October 2022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October 2022 Rights Offering, the Company issued (i) to Maxim, as the dealer-manager in the October 2022 Rights Offering, 53 warrants to purchase shares of the Company’s common stock and (ii) to Ascendiant, as a financial advisor to the Company in the October 2022 Rights Offering, 10 warrants to purchase shares of the Company’s common stock (collectively, the “Dealer Manager Warrants”). The Dealer Manager Warrants are non-exercisable for 6 months from October 17, 2022 and will expire on September 23, 2027. The Dealer Manager Warrants will be exercisable at a price of $3,322.40 per share, subject to adjustment for stock dividends, distributions, subdivisions, combinations, or reclassifications, and for certain dilutive issuances. Subject to limited exceptions, a holder of the Dealer Manager Warrants will not have the right to exercise any portion of the Dealer Manager Warrants to the extent that, after giving effect to the exercise, the holder, together with its affiliates, and any other person acting as a group together with the holder or any of its affiliates, would beneficially own in excess of 4.99% of the number of shares of the Company’s common stock outstanding immediately after giving effect to its exercise. The holder, upon notice to the Company, may increase or decrease the beneficial ownership limitation provisions of the Dealer Manager Warrants, provided that in no event shall the limitation exceed 9.99% of the number of shares of our common stock outstanding immediately after giving effect to the exercise of the Dealer Manager Warrants. In addition, the Dealer Manager Warrants shall not be redeemable and may not be sold, transferred, assigned, pledged or hypothecated or be the subject of any hedging, short sale, derivative, put, or call transaction for a period of 180 days following September 23, 2022, except that they may be assigned, in whole or in part, to any officer or partner of Maxim (or to Ascendiant). The Dealer Manager Warrants may be exercised as to all or a lesser number of shares of the Company’s common stock and contain unlimited “piggyback” registration rights for a period of five years after September 23, 2022, at the Company’s expense. The Company relied on the exemption from registration available under Section 4(a)(2) of the Securities Act in connection with the issuance of the Dealer Manager Warrants to Maxim and Ascendiant.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Dealer Manager Warrants is not complete. For the complete terms of the Dealer Manager Warrants, you should refer to the form of Dealer Manager Warrant filed as an exhibit to the registration statement of which this prospectus forms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Anti-Takeover Provisions of Our Amended and Restated Certificate of Incorporation, Our Amended and Restated Bylaws and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(1) Delaware law, (2) our Amended and Restated Certificate of Incorporation and (3) our Amended and Restated Bylaws discussed below could discourage or make it more difficult to prevail in a proxy contest or effect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in control of our company. These provisions are designed to reduce our vulnerability to an unsolicited acquisition proposal. These provisions also are intended to discourage certain tactics that may be used in proxy fights. These provisions also may have the effect of preventing changes in our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Delaware Statutory Business Combinations Provision. </w:t>
      </w:r>
      <w:r>
        <w:rPr>
          <w:rFonts w:ascii="Times New Roman;Times;Serif" w:hAnsi="Times New Roman;Times;Serif"/>
          <w:b w:val="false"/>
          <w:i w:val="false"/>
          <w:caps w:val="false"/>
          <w:smallCaps w:val="false"/>
          <w:sz w:val="20"/>
        </w:rPr>
        <w:t>We are subject to the anti-takeover provisions of Section 203 of the Delaware General Corporation Law. In general,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Classified Board of Directors; Appointment of Directors to Fill Vacancies; Removal of Directors for Cause. </w:t>
      </w:r>
      <w:r>
        <w:rPr>
          <w:rFonts w:ascii="Times New Roman;Times;Serif" w:hAnsi="Times New Roman;Times;Serif"/>
          <w:b w:val="false"/>
          <w:i w:val="false"/>
          <w:caps w:val="false"/>
          <w:smallCaps w:val="false"/>
          <w:sz w:val="20"/>
        </w:rPr>
        <w:t>Our Amended and Restated Certificate of Incorporation provides that our Board of Directors will be divided into three classes as nearly equal in number as possible. Each year the stockholders will elect the members of one of the three classes to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any positions so created and is permitted to specify the class to which any new position is assigned. The person filling any of these positions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holders of at least 80% of our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Authorization of Blank Check Preferred Stock. </w:t>
      </w:r>
      <w:r>
        <w:rPr>
          <w:rFonts w:ascii="Times New Roman;Times;Serif" w:hAnsi="Times New Roman;Times;Serif"/>
          <w:b w:val="false"/>
          <w:i w:val="false"/>
          <w:caps w:val="false"/>
          <w:smallCaps w:val="false"/>
          <w:sz w:val="20"/>
        </w:rPr>
        <w:t>Our Amended and Restated Certificate of Incorporation provides that our Board of Directors is authorized to issue, without stockholder approval, blank check preferred stock. Blank check preferred stock can operate as a defensive measure known as a “poison pill” by diluting the stock ownership of a potential hostile acquirer to prevent an acquisition that is not approved by our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Provisions for Stockholder Proposals and Stockholder Nominations of Directors</w:t>
      </w:r>
      <w:r>
        <w:rPr>
          <w:rFonts w:ascii="Times New Roman;Times;Serif" w:hAnsi="Times New Roman;Times;Serif"/>
          <w:b w:val="false"/>
          <w:i w:val="false"/>
          <w:caps w:val="false"/>
          <w:smallCaps w:val="false"/>
          <w:sz w:val="20"/>
        </w:rPr>
        <w:t>. Our Amended and Restated Bylaws provide that, for nominations to the Board of Directors or for other business to be properly brought by a stockholder before a meeting of stockholders, the stockholder must first have given timely notice of the proposal in writing to our Secretary. For an annual meeting, a stockholder’s notice generally must be delivered not less than 90 days nor more than 120 days prior to the anniversary of the mailing date of the proxy statement for the previous year’s annual meeting. For a special meeting, the notice must generally be delivered no less than 60 days nor more than 90 days prior to the special meeting or ten days following the day on which public announcement of the meeting is first made. Detailed requirements as to the form of the notice and information required in the notice are specified in our Amended and Restated Bylaws. If it is determined that business was not properly brought before a meeting in accordance with our Amended and Restated Bylaws provisions, this business will not be conducted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Special Meetings of Stockholders. </w:t>
      </w:r>
      <w:r>
        <w:rPr>
          <w:rFonts w:ascii="Times New Roman;Times;Serif" w:hAnsi="Times New Roman;Times;Serif"/>
          <w:b w:val="false"/>
          <w:i w:val="false"/>
          <w:caps w:val="false"/>
          <w:smallCaps w:val="false"/>
          <w:sz w:val="20"/>
        </w:rPr>
        <w:t>Special meetings of the stockholders may be called only by our Board of Directors pursuant to a resolution adopted by a majority of the total number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No Stockholder Action by Written Consent. </w:t>
      </w:r>
      <w:r>
        <w:rPr>
          <w:rFonts w:ascii="Times New Roman;Times;Serif" w:hAnsi="Times New Roman;Times;Serif"/>
          <w:b w:val="false"/>
          <w:i w:val="false"/>
          <w:caps w:val="false"/>
          <w:smallCaps w:val="false"/>
          <w:sz w:val="20"/>
        </w:rPr>
        <w:t>Our Amended and Restated Certificate of Incorporation does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Super-Majority Stockholder Vote required for Certain Actions. </w:t>
      </w:r>
      <w:r>
        <w:rPr>
          <w:rFonts w:ascii="Times New Roman;Times;Serif" w:hAnsi="Times New Roman;Times;Serif"/>
          <w:b w:val="false"/>
          <w:i w:val="false"/>
          <w:caps w:val="false"/>
          <w:smallCaps w:val="false"/>
          <w:sz w:val="20"/>
        </w:rPr>
        <w:t>The Delaware General Corporation Law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Amended and Restated Certificate of Incorporation requires the affirmative vote of the holders of at least 80% of our outstanding voting stock to amend or repeal any of the provisions discussed in this section of this prospectus entitled “Effect of Anti-Takeover Provisions of Our Amended and Restated Certificate of Incorporation, Our Amended and Restated Bylaws and Delaware Law” or to reduce the number of authorized shares of common stock or preferred stock. This 80% stockholder vote would be in addition to any separate class vote that might in the future be required pursuant to the terms of any preferred stock that might then be outstanding. A 80% vote is also required for any amendment to, or repeal of, our Amended and Restated Bylaws by the stockholders. Our Amended and Restated Bylaws may be amended or repealed by a simple majority vote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Potential Effects of Authorized but Unissued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shares of common stock and preferred stock available for future issuance without stockholder approval. We may utilize these additional shares for a variety of corporate purposes, including future public offerings to raise additional capital, to facilitate corporate acquisitions or payment as a dividend on the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unissued and unreserved common stock and preferred stock may enable our Board of Directors to issue shares to persons friendly to current management or to issue preferred stock with terms that could render more difficult or discourage a third-party attempt to obtain control of us by means of a merger, tender offer, proxy contest or otherwise, thereby protecting the continuity of our management. In addition, the Board of Directors has the discretion to determine designations, rights, preferences, privileges and restrictions, including voting rights, dividend rights, conversion rights, redemption privileges and liquidation preferences of each series of preferred stock, all to the fullest extent permissible under the Delaware General Corporation Law and subject to any limitations set forth in our Amended and Restated Certificate of Incorporation. The purpose of authorizing the Board of Directors to issue preferred stock and to determine the rights and preferences applicable to such preferred stock is to eliminate delays associated with a stockholder vote on specific issuances. The issuance of preferred stock, while providing desirable flexibility in connection with possible financings, acquisitions and other corporate purposes, could have the effect of making it more difficult for a third-party to acquire, or could discourage a third-party from acquiring, a majority of our outstanding voting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ma_009"/>
      <w:bookmarkEnd w:id="9"/>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being offered by the selling stockholder are those issuable to the selling stockholder upon exercise of the New Warrants. For additional information regarding the issuances of those New Warrants, see “New Warrants” above. We are registering the Shares of common stock in order to permit the selling stockholder to offer the Shares for resale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includes voting or investment power with respect to our common stock. Generally, a person “beneficially owns” shares of our common stock if the person has or shares with others the right to vote those shares or to dispose of them, or if the person has the right to acquire voting or disposition rights within 60 days.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of the shares of common stock by the selling stockholder. The second column lists the number of shares of common stock beneficially owned by the selling stockholder, based on its ownership of the Share and New Warrants, as of August 11, 2026, assuming exercise of the New Warrants held by the selling stockholder on that date, without regard to any limitations on exercises.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 this prospectus generally covers the resale of the maximum number of shares of common stock issuable upon exercise of the New Warrants, determined as if the New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New Warrants. The fourth column assumes the sale of all of the Shares offered by the selling stockholder pursuant to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New Warrants, the selling stockholder may not exercise the New Warrants to the extent such exercise would cause the selling stockholder,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New Warrants which have not been exercised. The number of shares in the second and fourth columns do not reflect this limitation. The selling stockholder may sell all, some or none of its shares in this offering.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percentage indicated in the following table is based on 6,664,534 total outstanding shares of our common stock as of August 11,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computing the number of shares of common stock beneficially owned by the selling stockholder and the percentage ownership, we included outstanding shares of common stock issuable upon exercise of the New Warrants that are currently exercisable or exercisable within 60 days of August 11,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4"/>
        <w:gridCol w:w="60"/>
        <w:gridCol w:w="185"/>
        <w:gridCol w:w="3065"/>
        <w:gridCol w:w="60"/>
        <w:gridCol w:w="60"/>
        <w:gridCol w:w="142"/>
        <w:gridCol w:w="2359"/>
        <w:gridCol w:w="60"/>
        <w:gridCol w:w="60"/>
        <w:gridCol w:w="60"/>
        <w:gridCol w:w="1013"/>
        <w:gridCol w:w="60"/>
        <w:gridCol w:w="60"/>
        <w:gridCol w:w="110"/>
        <w:gridCol w:w="1035"/>
        <w:gridCol w:w="232"/>
      </w:tblGrid>
      <w:tr>
        <w:trPr/>
        <w:tc>
          <w:tcPr>
            <w:tcW w:w="1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29"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Shares of common stock</w:t>
            </w:r>
          </w:p>
        </w:tc>
        <w:tc>
          <w:tcPr>
            <w:tcW w:w="232" w:type="dxa"/>
            <w:tcBorders/>
            <w:vAlign w:val="center"/>
          </w:tcPr>
          <w:p>
            <w:pPr>
              <w:pStyle w:val="TableContents"/>
              <w:bidi w:val="0"/>
              <w:spacing w:before="0" w:after="283"/>
              <w:jc w:val="left"/>
              <w:rPr/>
            </w:pPr>
            <w:r>
              <w:rPr/>
              <w:t> </w:t>
            </w:r>
          </w:p>
        </w:tc>
      </w:tr>
      <w:tr>
        <w:trPr/>
        <w:tc>
          <w:tcPr>
            <w:tcW w:w="158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 Beneficially Owned Prior to the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Maximum Number of Shares Being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Beneficially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After the Offering</w:t>
            </w:r>
          </w:p>
        </w:tc>
        <w:tc>
          <w:tcPr>
            <w:tcW w:w="232" w:type="dxa"/>
            <w:tcBorders/>
            <w:vAlign w:val="center"/>
          </w:tcPr>
          <w:p>
            <w:pPr>
              <w:pStyle w:val="TableContents"/>
              <w:bidi w:val="0"/>
              <w:spacing w:before="0" w:after="283"/>
              <w:jc w:val="left"/>
              <w:rPr/>
            </w:pPr>
            <w:r>
              <w:rPr/>
              <w:t> </w:t>
            </w:r>
          </w:p>
        </w:tc>
      </w:tr>
      <w:tr>
        <w:trPr/>
        <w:tc>
          <w:tcPr>
            <w:tcW w:w="1584"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3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1"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Registered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Resale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3"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Percentage</w:t>
            </w:r>
          </w:p>
        </w:tc>
        <w:tc>
          <w:tcPr>
            <w:tcW w:w="232" w:type="dxa"/>
            <w:tcBorders/>
            <w:vAlign w:val="center"/>
          </w:tcPr>
          <w:p>
            <w:pPr>
              <w:pStyle w:val="TableContents"/>
              <w:bidi w:val="0"/>
              <w:spacing w:before="0" w:after="283"/>
              <w:jc w:val="left"/>
              <w:rPr/>
            </w:pPr>
            <w:r>
              <w:rPr/>
              <w:t> </w:t>
            </w:r>
          </w:p>
        </w:tc>
      </w:tr>
      <w:tr>
        <w:trPr/>
        <w:tc>
          <w:tcPr>
            <w:tcW w:w="15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MedTech Ceramics, LP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3065" w:type="dxa"/>
            <w:tcBorders/>
            <w:shd w:fill="CCEEFF" w:val="clear"/>
            <w:vAlign w:val="center"/>
          </w:tcPr>
          <w:p>
            <w:pPr>
              <w:pStyle w:val="TableContents"/>
              <w:bidi w:val="0"/>
              <w:spacing w:before="0" w:after="283"/>
              <w:jc w:val="right"/>
              <w:rPr/>
            </w:pPr>
            <w:r>
              <w:rPr/>
              <w:t xml:space="preserve">2,304,628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2359" w:type="dxa"/>
            <w:tcBorders/>
            <w:shd w:fill="CCEEFF" w:val="clear"/>
            <w:vAlign w:val="center"/>
          </w:tcPr>
          <w:p>
            <w:pPr>
              <w:pStyle w:val="TableContents"/>
              <w:bidi w:val="0"/>
              <w:spacing w:before="0" w:after="283"/>
              <w:jc w:val="right"/>
              <w:rPr/>
            </w:pPr>
            <w:r>
              <w:rPr/>
              <w:t>1,268,135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pPr>
            <w:r>
              <w:rPr/>
              <w:t xml:space="preserve">1,036,493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035" w:type="dxa"/>
            <w:tcBorders/>
            <w:shd w:fill="CCEEFF" w:val="clear"/>
            <w:vAlign w:val="center"/>
          </w:tcPr>
          <w:p>
            <w:pPr>
              <w:pStyle w:val="TableContents"/>
              <w:bidi w:val="0"/>
              <w:spacing w:before="0" w:after="283"/>
              <w:jc w:val="right"/>
              <w:rPr/>
            </w:pPr>
            <w:r>
              <w:rPr/>
              <w:t xml:space="preserve">15.55 </w:t>
            </w:r>
          </w:p>
        </w:tc>
        <w:tc>
          <w:tcPr>
            <w:tcW w:w="232"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(i) 655,336 shares of common stock, (ii) 381,157 pre-funded warrants previously owned and (iii) 1,268,135 shares of common stock underlying the New Warrants. The New Warrants, pre-funded warrants, and other warrants beneficially owned by MedTech Ceramics, LP, are subject to 9.99% Beneficial Ownership Limitation. Mr. Karl Kipke is the general partner of MedTech Ceramics, LP. The business address of MedTech Ceramics, LP is 925 S. Capital of Texas Hwy, #B-200, Austin, TX 78746.</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ma_010"/>
      <w:bookmarkEnd w:id="10"/>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of the securities and any of its pledgees, assignees and successors-in-interest may, from time to time, sell any or all of their securities covered hereby on the Nasdaq Capital Market or any other stock exchange, market or trading facility on which the securities are traded or in private transactions. These sales may be at fixed or negotiated prices. The selling stockholder may use any one or more of the following methods when selling securities: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securities under Rule 144 or any other exemption from registration under the Securities Act, if available, rather than under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 may arrange for other brokers-dealers to participate in sales. Broker-dealers may receive commissions or discounts from the selling stockholder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 may enter into hedging transactions with broker-dealers or other financial institutions, which may in turn engage in short sales of the securities in the course of hedging the positions they assume. The selling stockholder may also sell securities short and deliver these securities to close out their short positions, or loan or pledge the securities to broker-dealers that in turn may sell these securities. The selling stockholder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 against certain losses, claims, damages and liabilities, including liabilities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 will be subject to applicable provisions of the Exchange Act and the rules and regulations thereunder, including Regulation M, which may limit the timing of purchases and sales of the common stock by the selling stockholder or any other person. We will make copies of this prospectus available to the selling stockholder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ma_011"/>
      <w:bookmarkEnd w:id="11"/>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Dorsey &amp; Whitney LLP, Salt Lake City, Utah, will pass upon the validity of the securities offered by this prospectus and any supplement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ma_012"/>
      <w:bookmarkEnd w:id="12"/>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SINTX Technologies, Inc. appearing in SINTX Technologies, Inc.’s Annual Report on Form 10-K for the fiscal year ended December 31, 2025 have been audited by TANNER LLP, independent registered public accounting firm, as set forth in their report thereon included therein, and incorporated herein by reference. Such financial statements are incorporated herein by reference in reliance upon the report of TANNER LLP pertaining to such financial statements given on the authority of such firm as experts in accounting and auditing.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ma_013"/>
      <w:bookmarkEnd w:id="13"/>
      <w:r>
        <w:rPr>
          <w:rFonts w:ascii="Times New Roman;Times;Serif" w:hAnsi="Times New Roman;Times;Serif"/>
          <w:b/>
          <w:i w:val="false"/>
          <w:caps w:val="false"/>
          <w:smallCaps w:val="false"/>
          <w:sz w:val="20"/>
        </w:rPr>
        <w:t>WHERE YOU CAN FIND ADDITIONAL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the registration statement on Form S-3 we filed with the SEC under the Securities Act and does not contain all the information set forth or incorporated by reference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www.sec.gov. In addition, we maintain a website that contains information about us at www.sintx.com. Information contained on or accessible through our website is not a part of this prospectus and is not incorporated by reference herein,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ma_014"/>
      <w:bookmarkEnd w:id="14"/>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filed with the SEC on March 20, 2026;</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Quarterly Reports on Form 10-Q for the period ended </w:t>
            </w:r>
            <w:hyperlink r:id="rId4">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Company’s Current Reports on Form 8-K filed with the SEC on </w:t>
            </w:r>
            <w:hyperlink r:id="rId6">
              <w:r>
                <w:rPr>
                  <w:rStyle w:val="InternetLink"/>
                  <w:rFonts w:ascii="Times New Roman;Times;Serif" w:hAnsi="Times New Roman;Times;Serif"/>
                  <w:b w:val="false"/>
                  <w:i w:val="false"/>
                  <w:caps w:val="false"/>
                  <w:smallCaps w:val="false"/>
                  <w:sz w:val="20"/>
                </w:rPr>
                <w:t>February 18,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May 27,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June 3,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2, 2026</w:t>
              </w:r>
            </w:hyperlink>
            <w:r>
              <w:rPr>
                <w:rFonts w:ascii="Times New Roman;Times;Serif" w:hAnsi="Times New Roman;Times;Serif"/>
                <w:b w:val="false"/>
                <w:i w:val="false"/>
                <w:caps w:val="false"/>
                <w:smallCaps w:val="false"/>
                <w:sz w:val="20"/>
              </w:rPr>
              <w:t>; and</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which is contained in the Registration Statement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as filed with the SEC on February 7, 2014, as updated by the description of our common stock contained in </w:t>
            </w:r>
            <w:hyperlink r:id="rId11">
              <w:r>
                <w:rPr>
                  <w:rStyle w:val="InternetLink"/>
                  <w:rFonts w:ascii="Times New Roman;Times;Serif" w:hAnsi="Times New Roman;Times;Serif"/>
                  <w:b w:val="false"/>
                  <w:i w:val="false"/>
                  <w:caps w:val="false"/>
                  <w:smallCaps w:val="false"/>
                  <w:sz w:val="20"/>
                </w:rPr>
                <w:t>Exhibit 4.19</w:t>
              </w:r>
            </w:hyperlink>
            <w:r>
              <w:rPr>
                <w:rFonts w:ascii="Times New Roman;Times;Serif" w:hAnsi="Times New Roman;Times;Serif"/>
                <w:b w:val="false"/>
                <w:i w:val="false"/>
                <w:caps w:val="false"/>
                <w:smallCaps w:val="false"/>
                <w:sz w:val="20"/>
              </w:rPr>
              <w:t xml:space="preserve"> to our Annual Report on Form 10-K for the year ended December 31, 2025, including any amendment or report filed for the purpose of updating such description.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statements in the preceding paragraphs, no document, report or exhibit (or portion of any of the foregoing) or any other information that we have “furnished” to the SEC pursuant to the Exchange Act shall be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any future filings (other than Current Reports furnished under Items 2.02 or 7.01 of Form 8-K and exhibits filed on such form that are related to such items unless such Form 8-K expressly provides to the contrary) made with the SEC pursuant to Sections 13(a), 13(c), 14 or 15(d) of the Exchange Act (i) after the date of the initial filing of the registration statement of which this prospectus is a part and prior to effectiveness of the registration statement, and (ii) after the effectiveness of the registration statement but prior to the termination of the offering of the securities covered by this prospectus, excluding, in each case, information deemed furnished and not filed.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Sintx Technologies, Inc., Attn: Investor Relations, 1885 West 2100 South, Salt Lake City, Utah 84119 and our telephone number is (801) 839-3500. You may also access the documents incorporated by reference in this prospectus through our website at www.sintx.com.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Sintx Technologies,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050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1905000" cy="4476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1,268,135 Shares of Common Stock Offered by the 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estimated costs and expenses payable by us in connection with the offering of the securities being registered. All the amounts shown are estimates, except for the SEC registration fee. </w:t>
      </w:r>
    </w:p>
    <w:p>
      <w:pPr>
        <w:pStyle w:val="TextBody"/>
        <w:bidi w:val="0"/>
        <w:spacing w:before="0" w:after="0"/>
        <w:ind w:left="0" w:right="0" w:hanging="0"/>
        <w:jc w:val="left"/>
        <w:rPr>
          <w:caps w:val="false"/>
          <w:smallCaps w:val="false"/>
        </w:rPr>
      </w:pPr>
      <w:r>
        <w:rPr>
          <w:caps w:val="false"/>
          <w:smallCaps w:val="false"/>
        </w:rPr>
        <w:t> </w:t>
      </w:r>
    </w:p>
    <w:tbl>
      <w:tblPr>
        <w:tblW w:w="3810" w:type="dxa"/>
        <w:jc w:val="left"/>
        <w:tblInd w:w="0" w:type="dxa"/>
        <w:tblLayout w:type="fixed"/>
        <w:tblCellMar>
          <w:top w:w="0" w:type="dxa"/>
          <w:left w:w="0" w:type="dxa"/>
          <w:bottom w:w="0" w:type="dxa"/>
          <w:right w:w="0" w:type="dxa"/>
        </w:tblCellMar>
      </w:tblPr>
      <w:tblGrid>
        <w:gridCol w:w="2705"/>
        <w:gridCol w:w="60"/>
        <w:gridCol w:w="125"/>
        <w:gridCol w:w="845"/>
        <w:gridCol w:w="7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5" w:type="dxa"/>
            <w:gridSpan w:val="3"/>
            <w:tcBorders>
              <w:bottom w:val="single" w:sz="8" w:space="0" w:color="000000"/>
            </w:tcBorders>
            <w:tcMar>
              <w:bottom w:w="28" w:type="dxa"/>
            </w:tcMar>
            <w:vAlign w:val="center"/>
          </w:tcPr>
          <w:p>
            <w:pPr>
              <w:pStyle w:val="TableContents"/>
              <w:bidi w:val="0"/>
              <w:spacing w:before="0" w:after="283"/>
              <w:jc w:val="center"/>
              <w:rPr>
                <w:b/>
                <w:sz w:val="20"/>
              </w:rPr>
            </w:pPr>
            <w:r>
              <w:rPr>
                <w:b/>
                <w:sz w:val="20"/>
              </w:rPr>
              <w:t>Amount</w:t>
            </w:r>
          </w:p>
        </w:tc>
      </w:tr>
      <w:tr>
        <w:trPr/>
        <w:tc>
          <w:tcPr>
            <w:tcW w:w="2705" w:type="dxa"/>
            <w:tcBorders/>
            <w:shd w:fill="CCEEFF" w:val="clear"/>
            <w:vAlign w:val="center"/>
          </w:tcPr>
          <w:p>
            <w:pPr>
              <w:pStyle w:val="TableContents"/>
              <w:bidi w:val="0"/>
              <w:spacing w:before="0" w:after="283"/>
              <w:jc w:val="left"/>
              <w:rPr>
                <w:sz w:val="20"/>
              </w:rPr>
            </w:pPr>
            <w:r>
              <w:rPr>
                <w:sz w:val="20"/>
              </w:rPr>
              <w:t>SEC registration fee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290.72</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sz w:val="20"/>
              </w:rPr>
            </w:pPr>
            <w:r>
              <w:rPr>
                <w:sz w:val="20"/>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sz w:val="20"/>
              </w:rPr>
            </w:pPr>
            <w:r>
              <w:rPr>
                <w:sz w:val="20"/>
              </w:rPr>
              <w:t>$</w:t>
            </w:r>
          </w:p>
        </w:tc>
        <w:tc>
          <w:tcPr>
            <w:tcW w:w="845" w:type="dxa"/>
            <w:tcBorders/>
            <w:shd w:fill="FFFFFF" w:val="clear"/>
            <w:vAlign w:val="center"/>
          </w:tcPr>
          <w:p>
            <w:pPr>
              <w:pStyle w:val="TableContents"/>
              <w:bidi w:val="0"/>
              <w:spacing w:before="0" w:after="283"/>
              <w:jc w:val="right"/>
              <w:rPr>
                <w:sz w:val="20"/>
              </w:rPr>
            </w:pPr>
            <w:r>
              <w:rPr>
                <w:sz w:val="20"/>
              </w:rPr>
              <w:t>7,500.00</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20"/>
              </w:rPr>
            </w:pPr>
            <w:r>
              <w:rPr>
                <w:sz w:val="20"/>
              </w:rPr>
              <w:t>Legal fees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sz w:val="20"/>
              </w:rPr>
            </w:pPr>
            <w:r>
              <w:rPr>
                <w:sz w:val="20"/>
              </w:rPr>
              <w:t>$</w:t>
            </w:r>
          </w:p>
        </w:tc>
        <w:tc>
          <w:tcPr>
            <w:tcW w:w="845" w:type="dxa"/>
            <w:tcBorders/>
            <w:shd w:fill="CCEEFF" w:val="clear"/>
            <w:vAlign w:val="center"/>
          </w:tcPr>
          <w:p>
            <w:pPr>
              <w:pStyle w:val="TableContents"/>
              <w:bidi w:val="0"/>
              <w:spacing w:before="0" w:after="283"/>
              <w:jc w:val="right"/>
              <w:rPr>
                <w:sz w:val="20"/>
              </w:rPr>
            </w:pPr>
            <w:r>
              <w:rPr>
                <w:sz w:val="20"/>
              </w:rPr>
              <w:t>30,000.00</w:t>
            </w:r>
          </w:p>
        </w:tc>
        <w:tc>
          <w:tcPr>
            <w:tcW w:w="7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sz w:val="20"/>
              </w:rPr>
            </w:pPr>
            <w:r>
              <w:rPr>
                <w:sz w:val="20"/>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5,000.00</w:t>
            </w:r>
          </w:p>
        </w:tc>
        <w:tc>
          <w:tcPr>
            <w:tcW w:w="7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sz w:val="20"/>
              </w:rPr>
            </w:pPr>
            <w:r>
              <w:rPr>
                <w:sz w:val="20"/>
              </w:rPr>
              <w:t>Total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sz w:val="20"/>
              </w:rPr>
            </w:pPr>
            <w:r>
              <w:rPr>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42,790.72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Amended and Restated Certificate of Incorporation and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permitted by the Delaware General Corporation Law, as the same exists or may hereafter be amended (but, in the case of any such amendment, only to the extent that such amendment permits us to provide broader indemnification rights than such law permitted us to provide prior to such amendment) against all expense, liability and loss (including attorneys’ fees, judgments, fines, Employee Retirement Income Security Act excise taxes or penalties and amounts paid in settlement) reasonably incurred or suffered by such indemnitee in connection therewith;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subject to other articles of our Amended and Restated Certificate of Incorporation, we cannot be required to indemnify or advance expenses to any such indemnitee in connection with a proceeding (or part thereof) initiated by such indemnitee unless such proceeding (or part thereof) was authorized by the Board of Directors. These provisions limit the liability of our directors and officers to the fullest extent permitted under Delaware law. A director will not receive indemnification if he or she is found not to have acted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Delaware General Corporation Law, Article Eighth of our Amended and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Delaware General Corporation Law;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carry insurance policies insuring our directors and officers against certain liabilities that they may incur in their capacity as directors and officers. We have entered into indemnification agreements with certain of our executive officers and directors. These agreements, among other things, indemnify and advance expenses to our directors and officers for certain expenses, including attorney’s fees, judgments, fines and settlement amounts incurred by any such person in any action or proceeding, including any action by us arising out of such person’s services as our director or officer, or any other company or enterprise to which the person provides services at our request. We believe that these provisions and agreements are necessary to attract and retain qualified persons as directors and officers. We have entered into agreements to indemnify all of our directors and officers.</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5343"/>
        <w:gridCol w:w="60"/>
        <w:gridCol w:w="703"/>
        <w:gridCol w:w="60"/>
        <w:gridCol w:w="1662"/>
        <w:gridCol w:w="60"/>
        <w:gridCol w:w="623"/>
        <w:gridCol w:w="60"/>
        <w:gridCol w:w="849"/>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with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Reference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herein from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Filing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File/Reg.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Asset Purchase Agreement by and among Amedica Corporation, CTL Corporation and US Spine Inc. dated as of September 5, 2018</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Asset Purchase Agreement by and among SINTX Technologies, Inc. and B4C, LLC, dated July 20, 2021.</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Entity Acquisition Agreement between the Company and Tethon Corporation dated February 19, 2025</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2/20/25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common stock Certificate of the Registrant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3 to Form S-1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333-192232</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Form of Warrant Agency Agreement between Amedica Corporation and American Stock Transfer and Trust Company, LLC, dated February 6, 2020</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10.1)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2/07/20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Dealer Manager Warrants issued to Maxim Group LLC on October 17, 2022</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Dealer Manager Warrants issued to Ascendiant Capital Markets, LLC on October 17, 2022</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Form of Class A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4.3)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Form of Class B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10/17/22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Form of Class C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333-269475</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Pre-Funded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333-269475</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Class D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333-269475</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S-1</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333-269475</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Warrant Agency Agreement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Pre-Funded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72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72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43" w:type="dxa"/>
            <w:tcBorders/>
            <w:shd w:fill="FFFF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Class E Warrant</w:t>
              </w:r>
            </w:hyperlink>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62"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23"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9"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6276"/>
        <w:gridCol w:w="60"/>
        <w:gridCol w:w="155"/>
        <w:gridCol w:w="60"/>
        <w:gridCol w:w="1550"/>
        <w:gridCol w:w="60"/>
        <w:gridCol w:w="611"/>
        <w:gridCol w:w="60"/>
        <w:gridCol w:w="918"/>
      </w:tblGrid>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Class F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Warrant Agency Agreement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Senior Indenture, to be entered into between the Registrant and the trustee designated therein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333-274951</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Subordinated Indenture, to be entered into between the Registrant and the trustee designated therein</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333-274951</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Pre-Funded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Common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02/26/25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Form of Warrant</w:t>
              </w:r>
            </w:hyperlink>
          </w:p>
          <w:p>
            <w:pPr>
              <w:pStyle w:val="TableContents"/>
              <w:bidi w:val="0"/>
              <w:spacing w:before="0" w:after="0"/>
              <w:ind w:left="0" w:right="0" w:hanging="0"/>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6/27/25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New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10.2)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Placement Agent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10.3)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Additional Placement Agent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10.4)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Class A Common Stock Purchase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Class B Common Stock Purchase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Placement Agent Common Stock Purchase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S-3</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4.28)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333-297009</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Form of Pre-Funded Stock Purchase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8-K (Exhibit 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001-33624</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Dorsey &amp; Whitney LLP</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Dorsey &amp; Whitney LLP (included in Exhibit 5.1)</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w:anchor="poa_001">
              <w:r>
                <w:rPr>
                  <w:rStyle w:val="InternetLink"/>
                  <w:rFonts w:ascii="Times New Roman;Times;Serif" w:hAnsi="Times New Roman;Times;Serif"/>
                  <w:b w:val="false"/>
                  <w:i w:val="false"/>
                  <w:caps w:val="false"/>
                  <w:smallCaps w:val="false"/>
                  <w:sz w:val="20"/>
                </w:rPr>
                <w:t>Power of Attorney (included on the signature page to this registration statement)</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76" w:type="dxa"/>
            <w:tcBorders/>
            <w:shd w:fill="FFFFFF" w:val="cle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5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1"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18"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(a)(1)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Filing Fee Table” exhibit to the effective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include any material information with respect to the plan of distribution not previously disclosed in the registration statement or any material change to such information in the registration statement; provided, however, that paragraphs (a)(1)(i), (a)(1)(ii) and (a)(1)(iii) of this section do not apply if the registration statement is on Form S-3 and the information required to be included in a post-effective amendment by those paragraphs is contained in reports filed with or furnished to the SEC by the registrant pursuant to Section 13 or Section 15(d) of the Securities Exchange Act of 1934 (the “Exchange Act”) that are incorporated by reference in the registration statement, or is contained in a form of prospectus filed pursuant to Rule 424(b) that is part of the registration statement.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center"/>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of the registrant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Salt Lake City, State of Utah, on this 12</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August, 2026.</w:t>
      </w:r>
    </w:p>
    <w:p>
      <w:pPr>
        <w:pStyle w:val="TextBody"/>
        <w:bidi w:val="0"/>
        <w:spacing w:before="0" w:after="0"/>
        <w:ind w:left="0" w:right="0" w:hanging="0"/>
        <w:jc w:val="both"/>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1865"/>
        <w:gridCol w:w="320"/>
        <w:gridCol w:w="5180"/>
      </w:tblGrid>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5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SINTX Technologies, Inc.</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12,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18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r>
      <w:tr>
        <w:trPr/>
        <w:tc>
          <w:tcPr>
            <w:tcW w:w="186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1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 of Directors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poa_001"/>
      <w:bookmarkEnd w:id="15"/>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each person whose signature appears below constitutes and appoints Eric Olson and Kevin Trask, as his or her true and lawful attorneys-in-fact and agents, each with the full power of substitution, for him or her and in his or her name, place or stead, in any and all capacities, to sign any and all amendments to this registration statement (including post-effective amendments), and to sign any registration statement for the same offering covered by this registration statement that is to be effective upon filing pursuant to Rule 462 promulgated under the Securities Act, and all post-effective amendments thereto,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or her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caps w:val="false"/>
          <w:smallCaps w:val="false"/>
        </w:rPr>
      </w:pPr>
      <w:r>
        <w:rPr>
          <w:caps w:val="false"/>
          <w:smallCaps w:val="false"/>
        </w:rPr>
        <w:t> </w:t>
      </w:r>
    </w:p>
    <w:tbl>
      <w:tblPr>
        <w:tblW w:w="8475" w:type="dxa"/>
        <w:jc w:val="left"/>
        <w:tblInd w:w="0" w:type="dxa"/>
        <w:tblLayout w:type="fixed"/>
        <w:tblCellMar>
          <w:top w:w="0" w:type="dxa"/>
          <w:left w:w="0" w:type="dxa"/>
          <w:bottom w:w="28" w:type="dxa"/>
          <w:right w:w="0" w:type="dxa"/>
        </w:tblCellMar>
      </w:tblPr>
      <w:tblGrid>
        <w:gridCol w:w="1790"/>
        <w:gridCol w:w="60"/>
        <w:gridCol w:w="5180"/>
        <w:gridCol w:w="60"/>
        <w:gridCol w:w="1385"/>
      </w:tblGrid>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Eric Olson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Chairman of the Board of Directors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 Olson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Executive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Kevin Trask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Trask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Principal Financial Officer and Principal Accounting Officer</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Jay M. Moyes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Jay M. Moyes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D. Mitchell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D. Mitchell</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Gregg Honigblum</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Gregg Honigblum</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Lyons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17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Lyons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79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Anderson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tc>
      </w:tr>
      <w:tr>
        <w:trPr/>
        <w:tc>
          <w:tcPr>
            <w:tcW w:w="179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Anderson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1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ex5-1.htm"/>
      <w:bookmarkStart w:id="17" w:name="ksex51"/>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81250" cy="600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6"/>
                    <a:stretch>
                      <a:fillRect/>
                    </a:stretch>
                  </pic:blipFill>
                  <pic:spPr bwMode="auto">
                    <a:xfrm>
                      <a:off x="0" y="0"/>
                      <a:ext cx="2381250"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12,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 West 2100 South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Salt Lake City, UT 84119</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29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Registration Statement on Form S-3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SINTX Technologies, Inc., a Delaware corporation (the “Company”), in connection with a registration statement on Form S-3 (“Registration Statement”) filed by the Company with the Securities and Exchange Commission (the “Commission”) under the Securities Act of 1933, as amended (the “Securities Act”). The Registration Statement relates to the offer for resale of an aggregate of 1,268,135 shares (the “Shares”) of our common stock, par value $0.01 per share (the “Common Stock”), issuable upon the exercise of new common stock purchase warrants (the “New Warrants”) issued to the selling stockholder pursuant to a letter agreement, dated June 29,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such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Shares, we express no opinion to the extent that future issuances of securities of the Company, adjustments to outstanding securities of the Company or other matters cause the New Warrants to be exercisable for more shares of Common Stock than the number available for issuance by the Company, or that the consideration paid upon exercise of the New Warrants is below the par value per share of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we are of the opinion that upon due exercise of the New Warrants and payment to the Company of the applicable aggregate exercise price in accordance with the terms of the New Warrants, the Shares issuable upon such exercise will be duly and validly issued, fully paid and non-assessable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85"/>
        <w:gridCol w:w="2180"/>
      </w:tblGrid>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Dorsey &amp; Whitney LLP</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DPL/JBE</w:t>
            </w:r>
          </w:p>
        </w:tc>
        <w:tc>
          <w:tcPr>
            <w:tcW w:w="218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18" w:name="ex23-1.htm"/>
      <w:bookmarkStart w:id="19" w:name="ksex231"/>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SINTX Technologies,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Salt Lake City, Utah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of our report dated March 20, 2026, relating to the consolidated financial statements of SINTX Technologies, Inc., and subsidiaries (collectively, the Company), as of December 31, 2025 and 2024 and for each of the years then ended, appearing in the Annual Report on Form 10-K of the Company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us under the caption “Experts” in the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Tanner LLP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Lehi, Utah</w:t>
        <w:br/>
        <w:t>August 12,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 w:name="ex107.htm"/>
      <w:bookmarkStart w:id="21" w:name="ksex107"/>
      <w:bookmarkStart w:id="22" w:name="ex107.htm"/>
      <w:bookmarkStart w:id="23" w:name="ksex107"/>
      <w:bookmarkEnd w:id="22"/>
      <w:bookmarkEnd w:id="23"/>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Sintx Technologies,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1,268,135 </w:t>
            </w:r>
          </w:p>
        </w:tc>
        <w:tc>
          <w:tcPr>
            <w:tcW w:w="1156" w:type="dxa"/>
            <w:tcBorders/>
            <w:shd w:fill="E7E7E2" w:val="clear"/>
            <w:vAlign w:val="center"/>
          </w:tcPr>
          <w:p>
            <w:pPr>
              <w:pStyle w:val="TableContents"/>
              <w:bidi w:val="0"/>
              <w:spacing w:before="0" w:after="283"/>
              <w:jc w:val="right"/>
              <w:rPr/>
            </w:pPr>
            <w:r>
              <w:rPr/>
              <w:t xml:space="preserve">$ 1.66 </w:t>
            </w:r>
          </w:p>
        </w:tc>
        <w:tc>
          <w:tcPr>
            <w:tcW w:w="1546" w:type="dxa"/>
            <w:tcBorders/>
            <w:shd w:fill="E7E7E2" w:val="clear"/>
            <w:vAlign w:val="center"/>
          </w:tcPr>
          <w:p>
            <w:pPr>
              <w:pStyle w:val="TableContents"/>
              <w:bidi w:val="0"/>
              <w:spacing w:before="0" w:after="283"/>
              <w:jc w:val="right"/>
              <w:rPr/>
            </w:pPr>
            <w:r>
              <w:rPr/>
              <w:t xml:space="preserve">$ 2,105,104.10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$ 290.72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4" w:name="MaxAggtOfferingPrice"/>
            <w:bookmarkEnd w:id="24"/>
            <w:r>
              <w:rPr/>
              <w:t xml:space="preserve">$ 2,105,104.10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5" w:name="TotalFeeAmt"/>
            <w:bookmarkEnd w:id="25"/>
            <w:r>
              <w:rPr/>
              <w:t xml:space="preserve">$ 290.72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PreviouslyPaid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TotalOffset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NetFeeAmt"/>
            <w:bookmarkEnd w:id="28"/>
            <w:r>
              <w:rPr/>
              <w:t xml:space="preserve">$ 290.72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Shares of common stock will be offered for resale by the selling stockholder pursuant to the prospectus contained in the registration statement to which this exhibit is attached. The registration statement registers the resale of an aggregate of 1,268,135 shares of the registrant's common stock. Pursuant to Rule 416 under the Securities Act of 1933, as amended (the "Securities Act"), the shares of common stock being registered hereunder include an indeterminable number of additional shares of common stock that may be issuable as a result of stock splits, stock dividends or similar transactions. Estimated solely for the purpose of calculating the amount of the registration fee pursuant to Rule 457(c) of the Securities Act, on the basis of the high and low prices for a share of the registrant's common stock reported on August 6, 2026, which date is a date within five business days prior to the filing of this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269026/000149315226011924/form10-k.htm" TargetMode="External"/><Relationship Id="rId4" Type="http://schemas.openxmlformats.org/officeDocument/2006/relationships/hyperlink" Target="https://www.sec.gov/Archives/edgar/data/1269026/000149315226023919/form10-q.htm" TargetMode="External"/><Relationship Id="rId5" Type="http://schemas.openxmlformats.org/officeDocument/2006/relationships/hyperlink" Target="https://www.sec.gov/Archives/edgar/data/1269026/000149315226037116/form10-q.htm" TargetMode="External"/><Relationship Id="rId6" Type="http://schemas.openxmlformats.org/officeDocument/2006/relationships/hyperlink" Target="https://www.sec.gov/Archives/edgar/data/1269026/000149315226007271/form8-k.htm" TargetMode="External"/><Relationship Id="rId7" Type="http://schemas.openxmlformats.org/officeDocument/2006/relationships/hyperlink" Target="https://www.sec.gov/Archives/edgar/data/1269026/000149315226025377/form8-k.htm" TargetMode="External"/><Relationship Id="rId8" Type="http://schemas.openxmlformats.org/officeDocument/2006/relationships/hyperlink" Target="https://www.sec.gov/Archives/edgar/data/1269026/000149315226026985/form8-k.htm" TargetMode="External"/><Relationship Id="rId9" Type="http://schemas.openxmlformats.org/officeDocument/2006/relationships/hyperlink" Target="https://www.sec.gov/Archives/edgar/data/1269026/000149315226031949/form8-k.htm" TargetMode="External"/><Relationship Id="rId10" Type="http://schemas.openxmlformats.org/officeDocument/2006/relationships/hyperlink" Target="https://www.sec.gov/Archives/edgar/data/1269026/000119312514040613/d672126d8a12b.htm" TargetMode="External"/><Relationship Id="rId11" Type="http://schemas.openxmlformats.org/officeDocument/2006/relationships/hyperlink" Target="https://www.sec.gov/Archives/edgar/data/1269026/000149315226011924/ex4-19.htm" TargetMode="External"/><Relationship Id="rId12" Type="http://schemas.openxmlformats.org/officeDocument/2006/relationships/image" Target="media/image1.jpeg"/><Relationship Id="rId13" Type="http://schemas.openxmlformats.org/officeDocument/2006/relationships/hyperlink" Target="https://www.sec.gov/Archives/edgar/data/1269026/000149315218014199/ex2-1.htm" TargetMode="External"/><Relationship Id="rId14" Type="http://schemas.openxmlformats.org/officeDocument/2006/relationships/hyperlink" Target="https://www.sec.gov/Archives/edgar/data/1269026/000149315221017764/ex2-1.htm" TargetMode="External"/><Relationship Id="rId15" Type="http://schemas.openxmlformats.org/officeDocument/2006/relationships/hyperlink" Target="https://www.sec.gov/Archives/edgar/data/1269026/000149315225007635/ex1-1.htm" TargetMode="External"/><Relationship Id="rId16" Type="http://schemas.openxmlformats.org/officeDocument/2006/relationships/hyperlink" Target="https://www.sec.gov/Archives/edgar/data/1269026/000119312514025241/d593074dex41.htm" TargetMode="External"/><Relationship Id="rId17" Type="http://schemas.openxmlformats.org/officeDocument/2006/relationships/hyperlink" Target="https://www.sec.gov/Archives/edgar/data/1269026/000149315220001811/ex10-1.htm" TargetMode="External"/><Relationship Id="rId18" Type="http://schemas.openxmlformats.org/officeDocument/2006/relationships/hyperlink" Target="https://www.sec.gov/Archives/edgar/data/1269026/000149315222028681/ex4-1.htm" TargetMode="External"/><Relationship Id="rId19" Type="http://schemas.openxmlformats.org/officeDocument/2006/relationships/hyperlink" Target="https://www.sec.gov/Archives/edgar/data/1269026/000149315222028681/ex4-2.htm" TargetMode="External"/><Relationship Id="rId20" Type="http://schemas.openxmlformats.org/officeDocument/2006/relationships/hyperlink" Target="https://www.sec.gov/Archives/edgar/data/1269026/000149315222028681/ex4-3.htm" TargetMode="External"/><Relationship Id="rId21" Type="http://schemas.openxmlformats.org/officeDocument/2006/relationships/hyperlink" Target="https://www.sec.gov/Archives/edgar/data/1269026/000149315222028681/ex4-4.htm" TargetMode="External"/><Relationship Id="rId22" Type="http://schemas.openxmlformats.org/officeDocument/2006/relationships/hyperlink" Target="https://www.sec.gov/Archives/edgar/data/1269026/000149315223003769/ex4-13.htm" TargetMode="External"/><Relationship Id="rId23" Type="http://schemas.openxmlformats.org/officeDocument/2006/relationships/hyperlink" Target="https://www.sec.gov/Archives/edgar/data/1269026/000149315223003647/ex4-14.htm" TargetMode="External"/><Relationship Id="rId24" Type="http://schemas.openxmlformats.org/officeDocument/2006/relationships/hyperlink" Target="https://www.sec.gov/Archives/edgar/data/1269026/000149315223003769/ex4-15.htm" TargetMode="External"/><Relationship Id="rId25" Type="http://schemas.openxmlformats.org/officeDocument/2006/relationships/hyperlink" Target="https://www.sec.gov/Archives/edgar/data/1269026/000149315223003647/ex4-16.htm" TargetMode="External"/><Relationship Id="rId26" Type="http://schemas.openxmlformats.org/officeDocument/2006/relationships/hyperlink" Target="https://www.sec.gov/Archives/edgar/data/1269026/000149315223004104/ex4-5.htm" TargetMode="External"/><Relationship Id="rId27" Type="http://schemas.openxmlformats.org/officeDocument/2006/relationships/hyperlink" Target="https://www.sec.gov/Archives/edgar/data/1269026/000149315224004653/ex4-1.htm" TargetMode="External"/><Relationship Id="rId28" Type="http://schemas.openxmlformats.org/officeDocument/2006/relationships/hyperlink" Target="https://www.sec.gov/Archives/edgar/data/1269026/000149315224004653/ex4-2.htm" TargetMode="External"/><Relationship Id="rId29" Type="http://schemas.openxmlformats.org/officeDocument/2006/relationships/hyperlink" Target="https://www.sec.gov/Archives/edgar/data/1269026/000149315224004653/ex4-3.htm" TargetMode="External"/><Relationship Id="rId30" Type="http://schemas.openxmlformats.org/officeDocument/2006/relationships/hyperlink" Target="https://www.sec.gov/Archives/edgar/data/1269026/000149315224004653/ex4-4.htm" TargetMode="External"/><Relationship Id="rId31" Type="http://schemas.openxmlformats.org/officeDocument/2006/relationships/hyperlink" Target="https://www.sec.gov/Archives/edgar/data/1269026/000149315224004653/ex4-5.htm" TargetMode="External"/><Relationship Id="rId32" Type="http://schemas.openxmlformats.org/officeDocument/2006/relationships/hyperlink" Target="https://www.sec.gov/Archives/edgar/data/1269026/000149315223037042/ex4-14.htm" TargetMode="External"/><Relationship Id="rId33" Type="http://schemas.openxmlformats.org/officeDocument/2006/relationships/hyperlink" Target="https://www.sec.gov/Archives/edgar/data/1269026/000149315223037042/ex4-16.htm" TargetMode="External"/><Relationship Id="rId34" Type="http://schemas.openxmlformats.org/officeDocument/2006/relationships/hyperlink" Target="https://www.sec.gov/Archives/edgar/data/1269026/000149315225008277/ex4-1.htm" TargetMode="External"/><Relationship Id="rId35" Type="http://schemas.openxmlformats.org/officeDocument/2006/relationships/hyperlink" Target="https://www.sec.gov/Archives/edgar/data/1269026/000149315225008277/ex4-2.htm" TargetMode="External"/><Relationship Id="rId36" Type="http://schemas.openxmlformats.org/officeDocument/2006/relationships/hyperlink" Target="https://www.sec.gov/Archives/edgar/data/1269026/000149315225008277/ex4-3.htm" TargetMode="External"/><Relationship Id="rId37" Type="http://schemas.openxmlformats.org/officeDocument/2006/relationships/hyperlink" Target="https://www.sec.gov/Archives/edgar/data/1269026/000164117225016891/ex4-1.htm" TargetMode="External"/><Relationship Id="rId38" Type="http://schemas.openxmlformats.org/officeDocument/2006/relationships/hyperlink" Target="https://www.sec.gov/Archives/edgar/data/1269026/000149315225012834/ex10-2.htm" TargetMode="External"/><Relationship Id="rId39" Type="http://schemas.openxmlformats.org/officeDocument/2006/relationships/hyperlink" Target="https://www.sec.gov/Archives/edgar/data/1269026/000149315225012834/ex10-3.htm" TargetMode="External"/><Relationship Id="rId40" Type="http://schemas.openxmlformats.org/officeDocument/2006/relationships/hyperlink" Target="https://www.sec.gov/Archives/edgar/data/1269026/000149315225012834/ex10-4.htm" TargetMode="External"/><Relationship Id="rId41" Type="http://schemas.openxmlformats.org/officeDocument/2006/relationships/hyperlink" Target="https://www.sec.gov/Archives/edgar/data/1269026/000149315226026985/ex4-1.htm" TargetMode="External"/><Relationship Id="rId42" Type="http://schemas.openxmlformats.org/officeDocument/2006/relationships/hyperlink" Target="https://www.sec.gov/Archives/edgar/data/1269026/000149315226026985/ex4-2.htm" TargetMode="External"/><Relationship Id="rId43" Type="http://schemas.openxmlformats.org/officeDocument/2006/relationships/hyperlink" Target="https://www.sec.gov/Archives/edgar/data/1269026/000149315226029991/ex4-28.htm" TargetMode="External"/><Relationship Id="rId44" Type="http://schemas.openxmlformats.org/officeDocument/2006/relationships/hyperlink" Target="https://www.sec.gov/Archives/edgar/data/1269026/000149315226031949/ex4-1.htm" TargetMode="External"/><Relationship Id="rId45" Type="http://schemas.openxmlformats.org/officeDocument/2006/relationships/hyperlink" Target="https://www.sec.gov/Archives/edgar/data/1269026/000149315226031949/ex4-2.htm" TargetMode="External"/><Relationship Id="rId46" Type="http://schemas.openxmlformats.org/officeDocument/2006/relationships/image" Target="media/image2.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23394</Words>
  <Characters>123516</Characters>
  <CharactersWithSpaces>147458</CharactersWithSpaces>
  <Paragraphs>2064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