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001-33624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1885 West 2100 South</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Salt Lake City, UT 84119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(801) 839-3500</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2026, Sintx Technologies, Inc. (the “Company”) and MedTech Ceramics, LP (the “Holder”) finalized execution of a letter agreement (the “Letter Agreement”) providing for the disposition of 507,254 shares of Common Stock held in abeyance following the Company’s September 2025 warrant inducement transaction, and to cancel and replace an existing warrant held by the Holder. The Company and the Holder agreed that (i) the Company will promptly issue to the Holder 255,267 shares of Common Stock from abeyance (the “Released Shares”) for no additional consideration, as the applicable consideration was previously paid; (ii) the remaining 251,987 abeyance shares will be replaced by a pre-funded common stock purchase warrant covering the same number of shares (the “Pre-Funded Warrant”), also for no additional consideration; and (iii) the Holder’s existing September 2025 warrant to purchase 760,881 shares will be cancelled and replaced with a new common stock purchase warrant to purchase 1,268,135 shares at $2.14 per share (the “New Warrant”). The Company has agreed to file a resale registration statement covering the shares issuable upon exercise of the New Warrant within 45 days.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the Letter Agreement as part of its ongoing efforts to manage its capital structure and address the balance sheet treatment of the Released Shares. The Company expects that the transactions contemplated by the Letter Agreement may support its efforts to improve its stockholders’ equity position, although the Company’s stockholders’ equity will continue to depend on its overall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 has no fixed expiration date and remains outstanding until exercised in full. The exercise price was pre-funded in full in connection with the September 2025 warrant inducement transaction, so no additional cash consideration is required upon exercise. The Pre-Funded Warrant is exercisable via a cashless mechanism and is subject to a 9.99% beneficial ownership limitation. Standard adjustment provisions apply for stock splits, dividends, and fundamental transactions.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New Warrant expires five years from the date of issuance. The New Warrant is exercisable for cash or, if no effective registration statement is available after 90 days, by cashless exercise, and is subject to a 9.99% beneficial ownership limitation. The exercise price is subject to full-ratchet downward adjustment in any dilutive equity financing, subject to stockholder approval to the extent required by Nasdaq Listing Rule 5635(d). Standard anti-dilution and fundamental transaction provisions also apply.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are intended to be exempt from registration under the Securities Act of 1933 pursuant to Section 4(a)(2) and/or Regulation D. The foregoing summaries of the Letter Agreement, Pre-Funded Warrant, and New Warrant are qualified in their entirety by reference to the Letter Agreement, Pre-Funded Warrant, and New Warrant filed as Exhibit 10.1, 4.1, and 4.2,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(d) Exhibits.</w:t>
            </w:r>
          </w:p>
        </w:tc>
        <w:tc>
          <w:tcPr>
            <w:tcW w:w="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4"/>
                <w:szCs w:val="24"/>
                <w:color w:val="auto"/>
              </w:rPr>
            </w:pPr>
          </w:p>
        </w:tc>
        <w:tc>
          <w:tcPr>
            <w:tcW w:w="10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196"/>
        </w:trPr>
        <w:tc>
          <w:tcPr>
            <w:tcW w:w="10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100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Form of Pre-Funded Stock Purchase Warrant</w:t>
            </w:r>
          </w:p>
        </w:tc>
        <w:tc>
          <w:tcPr>
            <w:tcW w:w="20" w:type="dxa"/>
            <w:vAlign w:val="bottom"/>
          </w:tcPr>
          <w:p>
            <w:pPr>
              <w:spacing w:after="0"/>
              <w:rPr>
                <w:sz w:val="17"/>
                <w:szCs w:val="17"/>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3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Common Stock Purchase Warrant</w:t>
            </w:r>
          </w:p>
        </w:tc>
        <w:tc>
          <w:tcPr>
            <w:tcW w:w="160" w:type="dxa"/>
            <w:vAlign w:val="bottom"/>
            <w:tcBorders>
              <w:top w:val="single" w:sz="8" w:color="0000EE"/>
            </w:tcBorders>
          </w:tcPr>
          <w:p>
            <w:pPr>
              <w:spacing w:after="0"/>
              <w:rPr>
                <w:sz w:val="19"/>
                <w:szCs w:val="19"/>
                <w:color w:val="auto"/>
              </w:rPr>
            </w:pPr>
          </w:p>
        </w:tc>
        <w:tc>
          <w:tcPr>
            <w:tcW w:w="68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Letter Agreement dated June 19, 2026, effective June 29, 2026</w:t>
            </w:r>
          </w:p>
        </w:tc>
        <w:tc>
          <w:tcPr>
            <w:tcW w:w="20" w:type="dxa"/>
            <w:vAlign w:val="bottom"/>
          </w:tcPr>
          <w:p>
            <w:pPr>
              <w:spacing w:after="0"/>
              <w:rPr>
                <w:sz w:val="19"/>
                <w:szCs w:val="19"/>
                <w:color w:val="auto"/>
              </w:rPr>
            </w:pPr>
          </w:p>
        </w:tc>
      </w:tr>
      <w:tr>
        <w:trPr>
          <w:trHeight w:val="20"/>
        </w:trPr>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2"/>
                <w:szCs w:val="22"/>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2"/>
                <w:szCs w:val="22"/>
                <w:color w:val="auto"/>
              </w:rPr>
            </w:pPr>
          </w:p>
        </w:tc>
      </w:tr>
      <w:tr>
        <w:trPr>
          <w:trHeight w:val="459"/>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K. Olson</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K. Olson</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Warrant Shares: 251,987</w:t>
      </w:r>
      <w:r>
        <w:rPr>
          <w:sz w:val="20"/>
          <w:szCs w:val="20"/>
          <w:color w:val="auto"/>
        </w:rPr>
        <w:tab/>
      </w:r>
      <w:r>
        <w:rPr>
          <w:rFonts w:ascii="Times New Roman" w:cs="Times New Roman" w:eastAsia="Times New Roman" w:hAnsi="Times New Roman"/>
          <w:sz w:val="17"/>
          <w:szCs w:val="17"/>
          <w:color w:val="auto"/>
        </w:rPr>
        <w:t>Initial Exercise Date: June 29, 2026</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MedTech Ceramics, LP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251,987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of $3.32 per share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was pre-funded to the Company prior to the Initial Exercise Date and, consequently, no additional consideration shall be required to be paid by the Holder to any Person to effect any exercise of this Warrant. The Holder shall not be entitled to the return or refund of all, or any portion, of such pre-paid aggregate exercise price under any circumstance or for any reason whatsoever.</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Because the Exercise Price was pre-funded to the Company prior to the Initial Exercise Date, this Warrant shall be exercised, in whole or in part, at such time by means of a “cashless exercise” upon the Holder’s delivery to the Company of a properly completed Notice of Exercise.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5" w:name="page6"/>
    <w:bookmarkEnd w:id="5"/>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8"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w:t>
      </w:r>
    </w:p>
    <w:p>
      <w:pPr>
        <w:spacing w:after="0" w:line="1" w:lineRule="exact"/>
        <w:rPr>
          <w:sz w:val="20"/>
          <w:szCs w:val="20"/>
          <w:color w:val="auto"/>
        </w:rPr>
      </w:pPr>
    </w:p>
    <w:p>
      <w:pPr>
        <w:jc w:val="both"/>
        <w:ind w:left="1628" w:hanging="8"/>
        <w:spacing w:after="0" w:line="250" w:lineRule="auto"/>
        <w:tabs>
          <w:tab w:leader="none" w:pos="18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5" w:right="339" w:bottom="1440" w:gutter="0" w:footer="0" w:header="0"/>
        </w:sectPr>
      </w:pPr>
    </w:p>
    <w:bookmarkStart w:id="6" w:name="page7"/>
    <w:bookmarkEnd w:id="6"/>
    <w:p>
      <w:pPr>
        <w:jc w:val="both"/>
        <w:ind w:left="840" w:firstLine="640"/>
        <w:spacing w:after="0" w:line="261" w:lineRule="auto"/>
        <w:tabs>
          <w:tab w:leader="none" w:pos="16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w:t>
      </w:r>
    </w:p>
    <w:p>
      <w:pPr>
        <w:spacing w:after="0" w:line="162" w:lineRule="exact"/>
        <w:rPr>
          <w:sz w:val="20"/>
          <w:szCs w:val="20"/>
          <w:color w:val="auto"/>
        </w:rPr>
      </w:pPr>
    </w:p>
    <w:p>
      <w:pPr>
        <w:jc w:val="both"/>
        <w:ind w:left="840" w:firstLine="640"/>
        <w:spacing w:after="0" w:line="253" w:lineRule="auto"/>
        <w:tabs>
          <w:tab w:leader="none" w:pos="1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left="180" w:firstLine="652"/>
        <w:spacing w:after="0" w:line="251" w:lineRule="auto"/>
        <w:tabs>
          <w:tab w:leader="none" w:pos="10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w:t>
      </w:r>
    </w:p>
    <w:p>
      <w:pPr>
        <w:spacing w:after="0" w:line="2"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3(a) to reflect the actual payment of such dividends or Distributions.</w:t>
      </w:r>
    </w:p>
    <w:p>
      <w:pPr>
        <w:spacing w:after="0" w:line="197"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left="4" w:firstLine="644"/>
        <w:spacing w:after="0" w:line="250" w:lineRule="auto"/>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transaction solely to change the domicile of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w:t>
      </w:r>
    </w:p>
    <w:p>
      <w:pPr>
        <w:spacing w:after="0" w:line="3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 w:name="page12"/>
    <w:bookmarkEnd w:id="11"/>
    <w:p>
      <w:pPr>
        <w:jc w:val="both"/>
        <w:ind w:left="-460" w:firstLine="644"/>
        <w:spacing w:after="0" w:line="266" w:lineRule="auto"/>
        <w:tabs>
          <w:tab w:leader="none" w:pos="3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(other than a transaction solely to change the domicile of the Company),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jc w:val="both"/>
        <w:ind w:firstLine="644"/>
        <w:spacing w:after="0" w:line="2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 w:name="page15"/>
    <w:bookmarkEnd w:id="14"/>
    <w:p>
      <w:pPr>
        <w:ind w:left="380" w:hanging="196"/>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ind w:firstLine="644"/>
        <w:spacing w:after="0" w:line="282" w:lineRule="auto"/>
        <w:tabs>
          <w:tab w:leader="none" w:pos="8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or covered by an exemption from registration,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8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and the restrictions on transfer described herein or in the Purchase Agreement,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rule or regulation (including those of Nasdaq), but if any provision of this Warrant shall be prohibited by or invalid under applicable law, rule or regulation,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Olson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SINTX TECHNOLOGIES, INC.</w:t>
      </w:r>
    </w:p>
    <w:p>
      <w:pPr>
        <w:spacing w:after="0" w:line="225" w:lineRule="exact"/>
        <w:rPr>
          <w:sz w:val="20"/>
          <w:szCs w:val="20"/>
          <w:color w:val="auto"/>
        </w:rPr>
      </w:pPr>
    </w:p>
    <w:p>
      <w:pPr>
        <w:ind w:firstLine="1304"/>
        <w:spacing w:after="0" w:line="282" w:lineRule="auto"/>
        <w:tabs>
          <w:tab w:leader="none" w:pos="15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Exercise Price was pre-funded to the Company prior to the Initial Exercise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291465</wp:posOffset>
            </wp:positionV>
            <wp:extent cx="2134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857250</wp:posOffset>
            </wp:positionV>
            <wp:extent cx="2134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574675</wp:posOffset>
            </wp:positionV>
            <wp:extent cx="21342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291465</wp:posOffset>
            </wp:positionV>
            <wp:extent cx="21342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67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9" w:name="page20"/>
    <w:bookmarkEnd w:id="19"/>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Warrant Shares: 1,268,135</w:t>
      </w:r>
      <w:r>
        <w:rPr>
          <w:sz w:val="20"/>
          <w:szCs w:val="20"/>
          <w:color w:val="auto"/>
        </w:rPr>
        <w:tab/>
      </w:r>
      <w:r>
        <w:rPr>
          <w:rFonts w:ascii="Times New Roman" w:cs="Times New Roman" w:eastAsia="Times New Roman" w:hAnsi="Times New Roman"/>
          <w:sz w:val="17"/>
          <w:szCs w:val="17"/>
          <w:color w:val="auto"/>
        </w:rPr>
        <w:t>Initial Exercise Date: June 29, 2026</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MedTech Ceramics, LP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29, 2031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1,268,135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June [__], 2026, pursuant to which the Company agreed to issue this Warrant to the initial Holder.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the current transfer agent of the Company, with a mailing address of 48 Wall Street, 22nd Floor, New York, NY 10005 and any successor transfer agent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Letter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9" w:lineRule="exact"/>
        <w:rPr>
          <w:rFonts w:ascii="Times New Roman" w:cs="Times New Roman" w:eastAsia="Times New Roman" w:hAnsi="Times New Roman"/>
          <w:sz w:val="18"/>
          <w:szCs w:val="18"/>
          <w:color w:val="auto"/>
        </w:rPr>
      </w:pPr>
    </w:p>
    <w:p>
      <w:pPr>
        <w:ind w:left="660" w:firstLine="644"/>
        <w:spacing w:after="0" w:line="286" w:lineRule="auto"/>
        <w:tabs>
          <w:tab w:leader="none" w:pos="1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4"/>
        <w:spacing w:after="0" w:line="261"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ninety (90) days after the Initial Exercise Date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080" w:hanging="436"/>
        <w:spacing w:after="0" w:line="254" w:lineRule="auto"/>
        <w:tabs>
          <w:tab w:leader="none" w:pos="9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88"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080" w:hanging="436"/>
        <w:spacing w:after="0" w:line="282" w:lineRule="auto"/>
        <w:tabs>
          <w:tab w:leader="none" w:pos="9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3" w:name="page24"/>
    <w:bookmarkEnd w:id="23"/>
    <w:p>
      <w:pPr>
        <w:jc w:val="both"/>
        <w:ind w:left="328"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jc w:val="both"/>
        <w:ind w:left="328"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188" w:hanging="188"/>
        <w:spacing w:after="0"/>
        <w:tabs>
          <w:tab w:leader="none" w:pos="1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8"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4" w:name="page25"/>
    <w:bookmarkEnd w:id="24"/>
    <w:p>
      <w:pPr>
        <w:jc w:val="both"/>
        <w:ind w:left="840" w:firstLine="640"/>
        <w:spacing w:after="0" w:line="261" w:lineRule="auto"/>
        <w:tabs>
          <w:tab w:leader="none" w:pos="16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5" w:name="page26"/>
    <w:bookmarkEnd w:id="25"/>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6" w:name="page27"/>
    <w:bookmarkEnd w:id="26"/>
    <w:p>
      <w:pPr>
        <w:jc w:val="both"/>
        <w:ind w:left="180" w:firstLine="652"/>
        <w:spacing w:after="0" w:line="251" w:lineRule="auto"/>
        <w:tabs>
          <w:tab w:leader="none" w:pos="10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w:t>
      </w:r>
    </w:p>
    <w:p>
      <w:pPr>
        <w:spacing w:after="0" w:line="2"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3(a) to reflect the actual payment of such dividends or Distributions.</w:t>
      </w:r>
    </w:p>
    <w:p>
      <w:pPr>
        <w:spacing w:after="0" w:line="197"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8" w:name="page29"/>
    <w:bookmarkEnd w:id="28"/>
    <w:p>
      <w:pPr>
        <w:jc w:val="both"/>
        <w:ind w:left="-460" w:firstLine="644"/>
        <w:spacing w:after="0" w:line="251" w:lineRule="auto"/>
        <w:tabs>
          <w:tab w:leader="none" w:pos="4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Financing Adjustment</w:t>
      </w:r>
      <w:r>
        <w:rPr>
          <w:rFonts w:ascii="Times New Roman" w:cs="Times New Roman" w:eastAsia="Times New Roman" w:hAnsi="Times New Roman"/>
          <w:sz w:val="18"/>
          <w:szCs w:val="18"/>
          <w:color w:val="auto"/>
        </w:rPr>
        <w:t>. If, at any time during the period commencing on the Initial Exercise Date and ending on the Termination Date, the Company issues or sells shares of Common Stock or Common Stock Equivalents in a bona fide equity financing transaction for cash at a price per share less than the then-current Exercise Price of this Warrant (a “Dilutive Issuance”), then, subject to the limitations set forth below, the Exercise Price of this Warrant shall be reduced to such lower price per share. Notwithstanding the foregoing, in no event shall the Exercise Price be reduced unless and until the Company shall have obtained stockholder approval of such adjustment to the extent required by the applicable rules and regulations of The Nasdaq Stock Market LLC, including Nasdaq Listing Rule 5635(d); if stockholder approval is required by Nasdaq rules for any adjustment below the Minimum Price (as defined under the applicable rules and regulations of The Nasdaq Stock Market) the Company shall use its best efforts to obtain such approval and, if in the event such approval has not been obtained, then the Exercise Price shall not be adjusted below the Minimum Price unless and until such stockholder approval is obtained. This Section 3(d) shall not apply to any Exempt Issuance, including, without limitation, any sales or issuances of Common Stock or Common Stock Equivalents pursuant to any “at-the-market” offering program of the Company in effect on the Initial Exercise Date or established thereafter in compliance with applicable Nasdaq rules. For purposes of this Section 3(d), “bona fide equity financing transaction for cash” means an issuance or sale by the Company of shares of Common Stock or Common Stock Equivalents in a capital raising transaction for cash consideration, the primary purpose of which is to raise equity capital for the Company and which does not constitute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any issuance of (a) shares of Common Stock, options or other equity awards to employees, officers, directors or consultants of the Company pursuant to any equity incentive plan or arrangement approved by the Board of Directors or a committee thereof, (b) securities issued upon the exercise, exchange or conversion of any securities outstanding on the date of this Agreement, provided that such securities are not amended after the date hereof to increase the number of shares issuable thereunder or to decrease the applicable exercise, exchange or conversion price thereof (other than customary anti-dilution adjustments for stock splits, stock dividends or similar events), (c) securities issued pursuant to acquisitions, strategic transactions, commercial collaborations, licensing arrangements, joint ventures or other similar non-financing transactions approved by the Board of Directors, provided that such issuances are not primarily for the purpose of raising capital, (d) shares of Common Stock or Common Stock Equivalents issued pursuant to any at-the-market offering program, equity distribution agreement or similar continuous offering program established in compliance with applicable rules of The Nasdaq Stock Market, (e) securities issued pursuant to equipment financings, commercial bank facilities, venture debt arrangements or similar non-convertible debt financings approved by the Board of Directors, and (f) any other securities designated by the Board of Directors in good faith as not constituting a financing transaction undertaken primarily for capital raising purposes.</w:t>
      </w: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9" w:name="page30"/>
    <w:bookmarkEnd w:id="29"/>
    <w:p>
      <w:pPr>
        <w:jc w:val="both"/>
        <w:ind w:left="-460" w:firstLine="644"/>
        <w:spacing w:after="0" w:line="250" w:lineRule="auto"/>
        <w:tabs>
          <w:tab w:leader="none" w:pos="3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transaction solely to change the domicile of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474" w:gutter="0" w:footer="0" w:header="0"/>
        </w:sectPr>
      </w:pPr>
    </w:p>
    <w:bookmarkStart w:id="30" w:name="page31"/>
    <w:bookmarkEnd w:id="30"/>
    <w:p>
      <w:pPr>
        <w:jc w:val="both"/>
        <w:ind w:left="-460" w:firstLine="644"/>
        <w:spacing w:after="0" w:line="266" w:lineRule="auto"/>
        <w:tabs>
          <w:tab w:leader="none" w:pos="3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(other than a transaction solely to change the domicile of the Company),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the form and substance of which opinion shall be reasonably satisfactory to the Company, to the effect that the transfer of this Warrant does not require registration under the Securities Act.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jc w:val="both"/>
        <w:ind w:left="-460" w:firstLine="644"/>
        <w:spacing w:after="0" w:line="258" w:lineRule="auto"/>
        <w:tabs>
          <w:tab w:leader="none" w:pos="3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60" w:firstLine="644"/>
        <w:spacing w:after="0" w:line="282" w:lineRule="auto"/>
        <w:tabs>
          <w:tab w:leader="none" w:pos="3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left="-460" w:firstLine="644"/>
        <w:spacing w:after="0" w:line="255" w:lineRule="auto"/>
        <w:tabs>
          <w:tab w:leader="none" w:pos="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Letter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SINTX Technologies, Inc. 1855 West 2100 South, Salt Lake City, UT 84119, Attention: Kevin Ontiveros, General Counsel, email address:kontiveros@sintx.com,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5" w:name="page36"/>
    <w:bookmarkEnd w:id="35"/>
    <w:p>
      <w:pPr>
        <w:jc w:val="both"/>
        <w:ind w:firstLine="644"/>
        <w:spacing w:after="0" w:line="261"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and the restrictions on transfer described herein or in the Letter Agreement,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rule or regulation (including those of Nasdaq), but if any provision of this Warrant shall be prohibited by or invalid under applicable law, rule or regulation,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SINTX TECHNOLOGIES, INC.</w:t>
      </w:r>
    </w:p>
    <w:p>
      <w:pPr>
        <w:spacing w:after="0" w:line="225" w:lineRule="exact"/>
        <w:rPr>
          <w:sz w:val="20"/>
          <w:szCs w:val="20"/>
          <w:color w:val="auto"/>
        </w:rPr>
      </w:pPr>
    </w:p>
    <w:p>
      <w:pPr>
        <w:ind w:firstLine="1304"/>
        <w:spacing w:after="0" w:line="282" w:lineRule="auto"/>
        <w:tabs>
          <w:tab w:leader="none" w:pos="15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13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291465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857250</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574675</wp:posOffset>
            </wp:positionV>
            <wp:extent cx="2425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291465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2571750" cy="574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MedTech Ceramics,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 S. Capital of Texas HWY, B-200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Karl Kipke, 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Abeyance Shares and Warrant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this “Agreement” confirms the agreement between SINTX Technologies, Inc., a Delaware corporation (the “Company”) and MedTech Ceramics, LP (“MedTech” or the “Holder”) regarding certain shares of the Company’s common stock, par value $0.01 per share (the “Common Stock”), currently held in abeyance for MedTech and the cancellation and replacement of MedTech’s September 2025 common stock purchase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September 2025 warrant inducement transaction, MedTech exercised certain outstanding warrants for cash. Because of MedTech’s 9.99% beneficial ownership limitation, the Company held 507,254 shares of Common Stock in abeyance for MedTech (the “Abeyance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MedTech also currently holds a Common Stock Purchase Warrant issued by the Company in September 2025 to purchase 760,881 shares of Common Stock at an exercise price of $4.79 per share, with an initial exercise date of September 9, 2025 and an expiration date of March 10, 2031 (the “Existing Warrant”). The Existing Warrant provided by the Company reflects those terms and contains the 9.99% beneficial ownership limitation.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MedTech desire to resolve the Abeyance Shares and replace the Existing Warrant on the terms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Issuance of Common Shares from Abeyance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Promptly following the execution of this Agreement, the Company will issue to MedTech 255,267 shares of Common Stock from the Abeyance Shares (the “Released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MedTech will not be required to pay any additional exercise price or purchase price for the Released Shares, as the applicable consideration was previously paid in connection with the September 2025 warrant inducement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SINTX Technologies • 1885 West 2100 South • Salt Lake City, Utah 84119 • 801.839.3500 • www.sintx.com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574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Released Shares will be delivered by DWAC or book-entry transfer in accordance with MedTech’s written instructions.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Exchange of Remaining Abeyance Shares for Pre-Funded Warrant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MedTech agrees to exchange, surrender and release its right to receive the remaining 251,987 Abeyance Shares. In exchange, the Company will issue to MedTech a pre-funded warrant to purchase 251,987 shares of Common Stock (the “Pre-Funded Warrant”). MedTech will not be required to pay any additional exercise price upon the exercise of the Pre-Funded Warrants, as the applicable consideration was previously paid in connection with the September 2025 warrant inducement transaction.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Pre-Funded Warrant will be substantially in the form previously used by the Company for pre-funded warrants, with appropriate conforming changes for this transaction. The Pre-Funded Warrant will include MedTech’s standard 9.99% beneficial ownership limitation.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issuance of the Released Shares and the Pre-Funded Warrant, the Company’s obligations with respect to all 507,254 Abeyance Shares will be fully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Cancellation of Existing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upon the Company’s issuance of the New Warrant described in Section 5 below, the Existing Warrant will be cancelled and terminated in full.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MedTech agrees that, following such cancellation, it will have no further rights under the Existing Warrant, including any right to purchase shares of Common Stock thereunder.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MedTech will return the original Existing Warrant to the Company for cancellation if requested by the Company and if the original is in MedTech’s possession. If the original Existing Warrant is not available, MedTech’s signature below will constitute authorization for the Company to cancel the Existing Warrant on the Company’s books and records.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Issuance of New Common Stock Purchase Warrant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exchange for the cancellation of the Existing Warrant, the Company will issue to MedTech a new common stock purchase warrant the “New Warrant” to purchase 1,268,135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Warrant will have the following terms:</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$2.14 per share.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Five years from the date of issuance.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SINTX Technologies • 1885 West 2100 South • Salt Lake City, Utah 84119 • 801.839.3500 • www.sintx.com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2571750" cy="574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74675"/>
                    </a:xfrm>
                    <a:prstGeom prst="rect">
                      <a:avLst/>
                    </a:prstGeom>
                    <a:noFill/>
                  </pic:spPr>
                </pic:pic>
              </a:graphicData>
            </a:graphic>
          </wp:anchor>
        </w:drawing>
      </w:r>
    </w:p>
    <w:p>
      <w:pPr>
        <w:spacing w:after="0" w:line="277" w:lineRule="exact"/>
        <w:rPr>
          <w:sz w:val="20"/>
          <w:szCs w:val="20"/>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Substantially the same form as the September 2025 warrant, with appropriate conforming changes.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Limitation: 9.99%.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Warrant will be issued promptly following execution of this Agreement.</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of New Warrant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agrees to register for resale the shares of Common Stock issuable upon exercise of the New Warrant the “</w:t>
      </w:r>
      <w:r>
        <w:rPr>
          <w:rFonts w:ascii="Times New Roman" w:cs="Times New Roman" w:eastAsia="Times New Roman" w:hAnsi="Times New Roman"/>
          <w:sz w:val="18"/>
          <w:szCs w:val="18"/>
          <w:b w:val="1"/>
          <w:bCs w:val="1"/>
          <w:color w:val="auto"/>
        </w:rPr>
        <w:t>Registrable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file a resale registration statement covering the Registrable Shares as promptly as reasonably practicable following the date of this Agreement, and in any event no later than 45 calendar days after the date of this Agreement.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will use commercially reasonable efforts to cause the resale registration statement to become effective as promptly as reasonably practicable after filing and to keep it effective until the earlier of:</w:t>
      </w:r>
    </w:p>
    <w:p>
      <w:pPr>
        <w:spacing w:after="0" w:line="162" w:lineRule="exact"/>
        <w:rPr>
          <w:sz w:val="20"/>
          <w:szCs w:val="20"/>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Registrable Shares have been sold;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Registrable Shares may be sold without volume or manner-of-sale restrictions under Rule 144;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two years after the effective date of the resale registration statement.</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Limitation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not issue the Released Shares if doing so would cause MedTech, together with its affiliates and any attribution parties, to beneficially own more than 9.99% of the Company’s outstanding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 and the New Warrant will each include a 9.99% beneficial ownership limitation.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Securities Law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MedTech represents that it is an “accredited investor” as defined in Regulation D under the Securities Act of 1933, as amended.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MedTech is acquiring the Pre-Funded Warrant and the New Warrant for its own account and not with a view to any distribution in violation of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SINTX Technologies • 1885 West 2100 South • Salt Lake City, Utah 84119 • 801.839.3500 • www.sintx.com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5740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intend that the issuance of the Pre-Funded Warrant and the New Warrant will be exempt from registration under the Securities Act pursuant to Section 3(a)(9), Section 4(a)(2), Regulation D or another available exemption.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confirms that it has not paid, and will not pay, any commission or other remuneration for soliciting the exchange contemplated by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Mutual Acknowledgment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acknowledge and agree that the transactions described in this Agreement are intended to:</w:t>
      </w:r>
    </w:p>
    <w:p>
      <w:pPr>
        <w:spacing w:after="0" w:line="225" w:lineRule="exact"/>
        <w:rPr>
          <w:sz w:val="20"/>
          <w:szCs w:val="20"/>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all remaining obligations relating to the Abeyance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and replace the Existing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MedTech’s economic exposure through the Released Shares, the Pre-Funded Warrant and the New Warrant;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in addressing the balance sheet treatment of the Abeyance Shares and its Nasdaq compliance plan.</w:t>
      </w:r>
    </w:p>
    <w:p>
      <w:pPr>
        <w:spacing w:after="0" w:line="20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upon completion of the transactions described in Sections 2, 3, 4 and 5 above, MedTech releases the Company from any further obligation with respect to:</w:t>
      </w:r>
    </w:p>
    <w:p>
      <w:pPr>
        <w:spacing w:after="0" w:line="162"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Abeyance Shares, other than the Company’s issuance of the Released Shares and the Pre-Funded Warrant issued under this Agreement;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Warrant, which will be cancelled and replaced by the New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this release does not limit MedTech’s rights under this Agreement, the Released Shares, the Pre-Funded Warrant or the New Warrant.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Further Assurances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party agrees to sign and deliver any additional documents and take any additional actions reasonably necessary to complete the transactions described in this Agreement, including customary transfer agent instructions, warrant issuance documents and registration statement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Public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disclose this Agreement and the transactions contemplated hereby in its SEC filings, Nasdaq submissions or other public disclosures, as the Company determines to be required or advisable.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SINTX Technologies • 1885 West 2100 South • Salt Lake City, Utah 84119 • 801.839.3500 • www.sintx.com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448945</wp:posOffset>
            </wp:positionV>
            <wp:extent cx="2571750" cy="574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will be governed by the laws of the State of New York, without regard to conflict-of-law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Counterparts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may be signed in counterparts and by electronic signature, each of which will be deemed an original and all of which together will constitute one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foregoing accurately reflects our agreement, please sign below and return a copy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Olson Signed June 29, 2026</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CEO and Chairman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MEDTECH CERAMICS,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Arthur Karl Kipke</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Arthur Karl Kipke</w:t>
            </w:r>
          </w:p>
        </w:tc>
        <w:tc>
          <w:tcPr>
            <w:tcW w:w="56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19, 2026</w:t>
            </w:r>
          </w:p>
        </w:tc>
      </w:tr>
      <w:tr>
        <w:trPr>
          <w:trHeight w:val="432"/>
        </w:trPr>
        <w:tc>
          <w:tcPr>
            <w:tcW w:w="580" w:type="dxa"/>
            <w:vAlign w:val="bottom"/>
          </w:tcPr>
          <w:p>
            <w:pPr>
              <w:spacing w:after="0"/>
              <w:rPr>
                <w:sz w:val="24"/>
                <w:szCs w:val="24"/>
                <w:color w:val="auto"/>
              </w:rPr>
            </w:pPr>
          </w:p>
        </w:tc>
        <w:tc>
          <w:tcPr>
            <w:tcW w:w="10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SINTX Technologies • 1885 West 2100 South • Salt Lake City, Utah 84119 • 801.839.3500 • www.sintx.com</w:t>
            </w: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5740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final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New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final form.]</w:t>
      </w:r>
    </w:p>
    <w:p>
      <w:pPr>
        <w:spacing w:after="0" w:line="225"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SINTX Technologies • 1885 West 2100 South • Salt Lake City, Utah 84119 • 801.839.3500 • www.sintx.com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1)"/>
      <w:numFmt w:val="lowerLetter"/>
      <w:start w:val="4"/>
    </w:lvl>
  </w:abstractNum>
  <w:abstractNum w:abstractNumId="3">
    <w:nsid w:val="4353D0CD"/>
    <w:multiLevelType w:val="hybridMultilevel"/>
    <w:lvl w:ilvl="0">
      <w:lvlJc w:val="left"/>
      <w:lvlText w:val="(%1)"/>
      <w:numFmt w:val="lowerRoman"/>
      <w:start w:val="1"/>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1."/>
      <w:numFmt w:val="lowerRoman"/>
      <w:start w:val="6"/>
    </w:lvl>
  </w:abstractNum>
  <w:abstractNum w:abstractNumId="6">
    <w:nsid w:val="54E49EB4"/>
    <w:multiLevelType w:val="hybridMultilevel"/>
    <w:lvl w:ilvl="0">
      <w:lvlJc w:val="left"/>
      <w:lvlText w:val="%1)"/>
      <w:numFmt w:val="lowerLetter"/>
      <w:start w:val="5"/>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Roman"/>
      <w:start w:val="1"/>
    </w:lvl>
    <w:lvl w:ilvl="1">
      <w:lvlJc w:val="left"/>
      <w:lvlText w:val="%2)"/>
      <w:numFmt w:val="lowerLetter"/>
      <w:start w:val="4"/>
    </w:lvl>
  </w:abstractNum>
  <w:abstractNum w:abstractNumId="9">
    <w:nsid w:val="836C40E"/>
    <w:multiLevelType w:val="hybridMultilevel"/>
    <w:lvl w:ilvl="0">
      <w:lvlJc w:val="left"/>
      <w:lvlText w:val="(%1)"/>
      <w:numFmt w:val="lowerRoman"/>
      <w:start w:val="2"/>
    </w:lvl>
    <w:lvl w:ilvl="1">
      <w:lvlJc w:val="left"/>
      <w:lvlText w:val="%2"/>
      <w:numFmt w:val="lowerLetter"/>
      <w:start w:val="1"/>
    </w:lvl>
  </w:abstractNum>
  <w:abstractNum w:abstractNumId="10">
    <w:nsid w:val="2901D82"/>
    <w:multiLevelType w:val="hybridMultilevel"/>
    <w:lvl w:ilvl="0">
      <w:lvlJc w:val="left"/>
      <w:lvlText w:val="%1)"/>
      <w:numFmt w:val="lowerLetter"/>
      <w:start w:val="5"/>
    </w:lvl>
    <w:lvl w:ilvl="1">
      <w:lvlJc w:val="left"/>
      <w:lvlText w:val="%2."/>
      <w:numFmt w:val="lowerRoman"/>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3"/>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4"/>
    </w:lvl>
  </w:abstractNum>
  <w:abstractNum w:abstractNumId="15">
    <w:nsid w:val="737B8DDC"/>
    <w:multiLevelType w:val="hybridMultilevel"/>
    <w:lvl w:ilvl="0">
      <w:lvlJc w:val="left"/>
      <w:lvlText w:val="%1)"/>
      <w:numFmt w:val="lowerLetter"/>
      <w:start w:val="5"/>
    </w:lvl>
  </w:abstractNum>
  <w:abstractNum w:abstractNumId="16">
    <w:nsid w:val="6CEAF087"/>
    <w:multiLevelType w:val="hybridMultilevel"/>
    <w:lvl w:ilvl="0">
      <w:lvlJc w:val="left"/>
      <w:lvlText w:val="%1)"/>
      <w:numFmt w:val="lowerLetter"/>
      <w:start w:val="6"/>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4"/>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1)"/>
      <w:numFmt w:val="upperLetter"/>
      <w:start w:val="1"/>
    </w:lvl>
  </w:abstractNum>
  <w:abstractNum w:abstractNumId="22">
    <w:nsid w:val="5577F8E1"/>
    <w:multiLevelType w:val="hybridMultilevel"/>
    <w:lvl w:ilvl="0">
      <w:lvlJc w:val="left"/>
      <w:lvlText w:val="(%1)"/>
      <w:numFmt w:val="upperLetter"/>
      <w:start w:val="24"/>
    </w:lvl>
  </w:abstractNum>
  <w:abstractNum w:abstractNumId="23">
    <w:nsid w:val="440BADFC"/>
    <w:multiLevelType w:val="hybridMultilevel"/>
    <w:lvl w:ilvl="0">
      <w:lvlJc w:val="left"/>
      <w:lvlText w:val="%1)"/>
      <w:numFmt w:val="lowerLetter"/>
      <w:start w:val="4"/>
    </w:lvl>
  </w:abstractNum>
  <w:abstractNum w:abstractNumId="24">
    <w:nsid w:val="5072367"/>
    <w:multiLevelType w:val="hybridMultilevel"/>
    <w:lvl w:ilvl="0">
      <w:lvlJc w:val="left"/>
      <w:lvlText w:val="%1."/>
      <w:numFmt w:val="lowerRoman"/>
      <w:start w:val="2"/>
    </w:lvl>
  </w:abstractNum>
  <w:abstractNum w:abstractNumId="25">
    <w:nsid w:val="3804823E"/>
    <w:multiLevelType w:val="hybridMultilevel"/>
    <w:lvl w:ilvl="0">
      <w:lvlJc w:val="left"/>
      <w:lvlText w:val="%1."/>
      <w:numFmt w:val="lowerRoman"/>
      <w:start w:val="6"/>
    </w:lvl>
  </w:abstractNum>
  <w:abstractNum w:abstractNumId="26">
    <w:nsid w:val="77465F01"/>
    <w:multiLevelType w:val="hybridMultilevel"/>
    <w:lvl w:ilvl="0">
      <w:lvlJc w:val="left"/>
      <w:lvlText w:val="%1)"/>
      <w:numFmt w:val="lowerLetter"/>
      <w:start w:val="5"/>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4"/>
    </w:lvl>
  </w:abstractNum>
  <w:abstractNum w:abstractNumId="29">
    <w:nsid w:val="2463B9EA"/>
    <w:multiLevelType w:val="hybridMultilevel"/>
    <w:lvl w:ilvl="0">
      <w:lvlJc w:val="left"/>
      <w:lvlText w:val="%1)"/>
      <w:numFmt w:val="lowerLetter"/>
      <w:start w:val="5"/>
    </w:lvl>
  </w:abstractNum>
  <w:abstractNum w:abstractNumId="30">
    <w:nsid w:val="5E884ADC"/>
    <w:multiLevelType w:val="hybridMultilevel"/>
    <w:lvl w:ilvl="0">
      <w:lvlJc w:val="left"/>
      <w:lvlText w:val="%1)"/>
      <w:numFmt w:val="lowerLetter"/>
      <w:start w:val="6"/>
    </w:lvl>
    <w:lvl w:ilvl="1">
      <w:lvlJc w:val="left"/>
      <w:lvlText w:val="%2."/>
      <w:numFmt w:val="lowerRoman"/>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lowerLetter"/>
      <w:start w:val="5"/>
    </w:lvl>
  </w:abstractNum>
  <w:abstractNum w:abstractNumId="35">
    <w:nsid w:val="3855585C"/>
    <w:multiLevelType w:val="hybridMultilevel"/>
    <w:lvl w:ilvl="0">
      <w:lvlJc w:val="left"/>
      <w:lvlText w:val="%1)"/>
      <w:numFmt w:val="lowerLetter"/>
      <w:start w:val="7"/>
    </w:lvl>
  </w:abstractNum>
  <w:abstractNum w:abstractNumId="36">
    <w:nsid w:val="70A64E2A"/>
    <w:multiLevelType w:val="hybridMultilevel"/>
    <w:lvl w:ilvl="0">
      <w:lvlJc w:val="left"/>
      <w:lvlText w:val="%1)"/>
      <w:numFmt w:val="lowerLetter"/>
      <w:start w:val="1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lvl w:ilvl="1">
      <w:lvlJc w:val="left"/>
      <w:lvlText w:val="["/>
      <w:numFmt w:val="bullet"/>
      <w:start w:val="1"/>
    </w:lvl>
  </w:abstractNum>
  <w:abstractNum w:abstractNumId="39">
    <w:nsid w:val="1D4ED43B"/>
    <w:multiLevelType w:val="hybridMultilevel"/>
    <w:lvl w:ilvl="0">
      <w:lvlJc w:val="left"/>
      <w:lvlText w:val="(%1)"/>
      <w:numFmt w:val="decimal"/>
      <w:start w:val="4"/>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5"/>
    </w:lvl>
    <w:lvl w:ilvl="1">
      <w:lvlJc w:val="left"/>
      <w:lvlText w:val="●"/>
      <w:numFmt w:val="bullet"/>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7"/>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0"/>
    </w:lvl>
    <w:lvl w:ilvl="1">
      <w:lvlJc w:val="left"/>
      <w:lvlText w:val="%2"/>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2026-07-02T16:30:01Z</dcterms:created>
  <dcterms:modified xsi:type="dcterms:W3CDTF">2026-07-02T16:30:01Z</dcterms:modified>
</cp:coreProperties>
</file>