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SINTX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812"/>
            <w:bookmarkEnd w:id="6"/>
            <w:r>
              <w:rPr>
                <w:rFonts w:ascii="Times New Roman;Times;Serif" w:hAnsi="Times New Roman;Times;Serif"/>
                <w:b/>
                <w:i w:val="false"/>
                <w:caps w:val="false"/>
                <w:smallCaps w:val="false"/>
                <w:sz w:val="20"/>
              </w:rPr>
              <w:t>001-33624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84-1375299</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1885 West 2100 South</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Salt Lake City, </w:t>
      </w:r>
      <w:bookmarkStart w:id="10" w:name="xdx_906_edei--EntityAddressStateOrProvin"/>
      <w:bookmarkEnd w:id="10"/>
      <w:r>
        <w:rPr>
          <w:rFonts w:ascii="Times New Roman;Times;Serif" w:hAnsi="Times New Roman;Times;Serif"/>
          <w:b/>
          <w:i w:val="false"/>
          <w:caps w:val="false"/>
          <w:smallCaps w:val="false"/>
          <w:sz w:val="20"/>
        </w:rPr>
        <w:t xml:space="preserve">UT </w:t>
      </w:r>
      <w:bookmarkStart w:id="11" w:name="xdx_906_edei--EntityAddressPostalZipCode"/>
      <w:bookmarkEnd w:id="11"/>
      <w:r>
        <w:rPr>
          <w:rFonts w:ascii="Times New Roman;Times;Serif" w:hAnsi="Times New Roman;Times;Serif"/>
          <w:b/>
          <w:i w:val="false"/>
          <w:caps w:val="false"/>
          <w:smallCaps w:val="false"/>
          <w:sz w:val="20"/>
        </w:rPr>
        <w:t>84119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8_edei--CityAreaCode_c20260812__20"/>
      <w:bookmarkEnd w:id="12"/>
      <w:r>
        <w:rPr>
          <w:rFonts w:ascii="Times New Roman;Times;Serif" w:hAnsi="Times New Roman;Times;Serif"/>
          <w:b/>
          <w:i w:val="false"/>
          <w:caps w:val="false"/>
          <w:smallCaps w:val="false"/>
          <w:sz w:val="20"/>
        </w:rPr>
        <w:t xml:space="preserve">(801) </w:t>
      </w:r>
      <w:bookmarkStart w:id="13" w:name="xdx_90A_edei--LocalPhoneNumber_c20260812"/>
      <w:bookmarkEnd w:id="13"/>
      <w:r>
        <w:rPr>
          <w:rFonts w:ascii="Times New Roman;Times;Serif" w:hAnsi="Times New Roman;Times;Serif"/>
          <w:b/>
          <w:i w:val="false"/>
          <w:caps w:val="false"/>
          <w:smallCaps w:val="false"/>
          <w:sz w:val="20"/>
        </w:rPr>
        <w:t>839-3500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B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5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left"/>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410"/>
        <w:gridCol w:w="60"/>
        <w:gridCol w:w="1670"/>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60812"/>
            <w:bookmarkEnd w:id="18"/>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812__2"/>
            <w:bookmarkEnd w:id="19"/>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5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SINTX Technologies, Inc. (the “Company”) issued a press release announcing that it has regained compliance with the minimum stockholders’ equity requirement for continued listing on The Nasdaq Capital Market under Nasdaq Listing Rule 5550(b)(1). The full text of the press release is furnished as Exhibit 99.1 to this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attached hereto, is being furnished and shall not be deemed to be “filed” for the purposes of Section 18 of the Securities Exchange Act of 1934, or otherwise subject to the liabilities of that section. Furthermore, the information contained in this Item 7.01 or Exhibit 99.1 shall not be deemed to be incorporated by reference into any registration statement or other document filed pursuant to the Securities Act of 1933, except as shall be expressly set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Company, received a letter (the “Letter”) from the Listing Qualifications Department (the “Staff”) of The Nasdaq Stock Market LLC (“Nasdaq”) notifying the Company that it has regained compliance with the minimum stockholders’ equity requirement for continued listing on The Nasdaq Capital Market under Nasdaq Listing Rule 5550(b)(1).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 on Form 8-K filed on May 27, 2026, on May 22, 2026, the Company received a letter from the Staff notifying it that it was not in compliance with Nasdaq Listing Rule 5550(b)(1), which requires companies listed on The Nasdaq Capital Market to maintain a minimum of $2.5 million in stockholders’ equity for continued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Letter, the Staff stated that, based on the Company’s Quarterly Report on Form 10-Q for the fiscal quarter ended June 30, 2026, which reported stockholders’ equity of $4,830,000 as of that date, the Company has regained compliance with Nasdaq Listing Rule 5550(b)(1), and that the matter is now closed.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13, 2026</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470"/>
        <w:gridCol w:w="1370"/>
        <w:gridCol w:w="60"/>
        <w:gridCol w:w="320"/>
        <w:gridCol w:w="1955"/>
      </w:tblGrid>
      <w:tr>
        <w:trPr/>
        <w:tc>
          <w:tcPr>
            <w:tcW w:w="18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18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K. Olson</w:t>
            </w:r>
          </w:p>
        </w:tc>
      </w:tr>
      <w:tr>
        <w:trPr/>
        <w:tc>
          <w:tcPr>
            <w:tcW w:w="18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K. Olson</w:t>
            </w:r>
          </w:p>
        </w:tc>
      </w:tr>
      <w:tr>
        <w:trPr/>
        <w:tc>
          <w:tcPr>
            <w:tcW w:w="18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760"/>
        <w:gridCol w:w="2925"/>
      </w:tblGrid>
      <w:tr>
        <w:trPr/>
        <w:tc>
          <w:tcPr>
            <w:tcW w:w="2760" w:type="dxa"/>
            <w:tcBorders/>
            <w:vAlign w:val="center"/>
          </w:tcPr>
          <w:p>
            <w:pPr>
              <w:pStyle w:val="TableContents"/>
              <w:bidi w:val="0"/>
              <w:spacing w:before="0" w:after="283"/>
              <w:jc w:val="both"/>
              <w:rPr>
                <w:caps w:val="false"/>
                <w:smallCaps w:val="false"/>
              </w:rPr>
            </w:pPr>
            <w:r>
              <w:rPr>
                <w:caps w:val="false"/>
                <w:smallCaps w:val="false"/>
              </w:rPr>
              <w:drawing>
                <wp:inline distT="0" distB="0" distL="0" distR="0">
                  <wp:extent cx="17430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90525"/>
                          </a:xfrm>
                          <a:prstGeom prst="rect">
                            <a:avLst/>
                          </a:prstGeom>
                        </pic:spPr>
                      </pic:pic>
                    </a:graphicData>
                  </a:graphic>
                </wp:inline>
              </w:drawing>
            </w:r>
          </w:p>
        </w:tc>
        <w:tc>
          <w:tcPr>
            <w:tcW w:w="2925" w:type="dxa"/>
            <w:tcBorders/>
            <w:vAlign w:val="center"/>
          </w:tcPr>
          <w:p>
            <w:pPr>
              <w:pStyle w:val="TableContents"/>
              <w:bidi w:val="0"/>
              <w:spacing w:before="0" w:after="283"/>
              <w:jc w:val="both"/>
              <w:rPr>
                <w:caps w:val="false"/>
                <w:smallCaps w:val="false"/>
              </w:rPr>
            </w:pPr>
            <w:r>
              <w:rPr>
                <w:caps w:val="false"/>
                <w:smallCaps w:val="false"/>
              </w:rPr>
              <w:drawing>
                <wp:inline distT="0" distB="0" distL="0" distR="0">
                  <wp:extent cx="184785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371475"/>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Regains Compliance with Nasdaq Stockholders’ Equity Requirement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SALT LAKE CITY, Utah – August 13, 2026 – SINTX Technologies, Inc.</w:t>
      </w:r>
      <w:r>
        <w:rPr>
          <w:rFonts w:ascii="Times New Roman;Times;Serif" w:hAnsi="Times New Roman;Times;Serif"/>
          <w:b w:val="false"/>
          <w:i w:val="false"/>
          <w:caps w:val="false"/>
          <w:smallCaps w:val="false"/>
          <w:sz w:val="20"/>
        </w:rPr>
        <w:t xml:space="preserve"> (NASDAQ: SINT) (“SINTX” or the “Company”), a company focused on advanced silicon nitride materials and medical technologies, today announced that it received written notification from the Listing Qualifications Staff of The Nasdaq Stock Market LLC (“Nasdaq”) confirming that the Company has regained compliance with Nasdaq Listing Rule 5550(b)(1), which requires companies listed on the Nasdaq Capital Market to maintain minimum stockholders’ equity of $2.5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SINTX’s Quarterly Report on Form 10-Q for the quarter ended June 30, 2026, which reported stockholders’ equity of approximately $4.83 million, Nasdaq determined that the Company complies with the minimum stockholders’ equity requirement under Listing Rule 5550(b)(1) and confirmed that the previously disclosed deficiency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have resolved this matter and to have Nasdaq confirm our compliance with the minimum stockholders’ equity requirement,” said Eric K. Olson, Chairman and Chief Executive Officer of SINTX Technologies. “This is an important step as we continue to strengthen the Company and focus our resources on the commercialization of our silicon nitride technologies and the execution of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focused on advancing the commercialization of its silicon nitride-based medical products, expanding its distribution network and developing strategic partnerships designed to support future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SINTX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Salt Lake City, Utah, SINTX Technologies, Inc. (NASDAQ: SINT) is an advanced ceramics company that develops, manufactures, and commercializes silicon nitride biomaterials, composites, devices, and related technologies for medical and other high-value applications. SINTX’s technologies are supported by peer-reviewed research, a patent portfolio, U.S.-based manufacturing capabilities and strategic industry relationships. The Company’s business includes proprietary biomaterials and medical device technologies, as well as contract manufacturing and other advanced ceramics opportunities. SINTX’s product portfolio includes the FDA-cleared SINAPTIC Foot &amp; Ankle Implant System for reconstructive surgery.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Company’s commercialization initiatives, expansion of its distribution network, development of strategic partnerships, growth strategy, future revenue growth and ability to maintain compliance with the continued listing requirements of The Nasdaq Stock Market. Forward-looking statements are based on current expectations and assumptions and are subject to risks and uncertainties that could cause actual results to differ materially from those expressed or implied by such statements. These risks and uncertainties include those described in the Company’s filings with the U.S. Securities and Exchange Commission, including under the heading “Risk Factors.” Readers are cautioned not to place undue reliance on these forward-looking statements. The Company undertakes no obligation to update any forward-looking statement,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Contacts: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Gregg Honigblum, Chief Investment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801-839-3502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IR@sintx.com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1173</Words>
  <Characters>6835</Characters>
  <CharactersWithSpaces>8020</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