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6" w:lineRule="exact"/>
        <w:rPr>
          <w:sz w:val="24"/>
          <w:szCs w:val="24"/>
          <w:color w:val="auto"/>
        </w:rPr>
      </w:pPr>
    </w:p>
    <w:p>
      <w:pPr>
        <w:ind w:left="340" w:right="80"/>
        <w:spacing w:after="0" w:line="25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-229235</wp:posOffset>
            </wp:positionV>
            <wp:extent cx="121285" cy="12128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285" cy="121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4" w:lineRule="exact"/>
        <w:rPr>
          <w:sz w:val="24"/>
          <w:szCs w:val="24"/>
          <w:color w:val="auto"/>
        </w:rPr>
      </w:pPr>
    </w:p>
    <w:p>
      <w:pPr>
        <w:ind w:left="340"/>
        <w:spacing w:after="0" w:line="24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-572770</wp:posOffset>
            </wp:positionV>
            <wp:extent cx="121285" cy="12128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285" cy="121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8"/>
        </w:trPr>
        <w:tc>
          <w:tcPr>
            <w:tcW w:w="6240" w:type="dxa"/>
            <w:vAlign w:val="bottom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217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197"/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5229860</wp:posOffset>
            </wp:positionH>
            <wp:positionV relativeFrom="paragraph">
              <wp:posOffset>-618490</wp:posOffset>
            </wp:positionV>
            <wp:extent cx="57785" cy="6318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3952240</wp:posOffset>
            </wp:positionH>
            <wp:positionV relativeFrom="paragraph">
              <wp:posOffset>-618490</wp:posOffset>
            </wp:positionV>
            <wp:extent cx="57785" cy="6318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3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-1674495</wp:posOffset>
            </wp:positionH>
            <wp:positionV relativeFrom="paragraph">
              <wp:posOffset>733425</wp:posOffset>
            </wp:positionV>
            <wp:extent cx="6995160" cy="435102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5160" cy="43510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320"/>
            <w:col w:w="8460"/>
          </w:cols>
          <w:pgMar w:left="460" w:top="216" w:right="359" w:bottom="1440" w:gutter="0" w:footer="0" w:header="0"/>
        </w:sectPr>
      </w:pP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0"/>
          <w:szCs w:val="20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Olson Eric K.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1885 WEST 2100 SOUTH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Sintx Technologies, Inc.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SINT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37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02/06/2026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-4" w:right="660" w:firstLine="4"/>
        <w:spacing w:after="0" w:line="253" w:lineRule="auto"/>
        <w:tabs>
          <w:tab w:leader="none" w:pos="138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516"/>
        <w:spacing w:after="0"/>
        <w:tabs>
          <w:tab w:leader="none" w:pos="207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516"/>
        <w:spacing w:after="0"/>
        <w:tabs>
          <w:tab w:leader="none" w:pos="207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576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Chairman, President and CEO</w:t>
      </w:r>
    </w:p>
    <w:p>
      <w:pPr>
        <w:spacing w:after="0" w:line="27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04" w:space="720"/>
            <w:col w:w="3336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11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40" w:type="dxa"/>
            <w:vAlign w:val="bottom"/>
            <w:gridSpan w:val="7"/>
          </w:tcPr>
          <w:p>
            <w:pPr>
              <w:jc w:val="center"/>
              <w:ind w:right="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4. If Amendment, Date of Original Filed (Month/Day/Year)</w:t>
            </w:r>
          </w:p>
        </w:tc>
        <w:tc>
          <w:tcPr>
            <w:tcW w:w="3680" w:type="dxa"/>
            <w:vAlign w:val="bottom"/>
            <w:gridSpan w:val="10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SALT LAKE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UT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84119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CITY,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4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40" w:type="dxa"/>
            <w:vAlign w:val="bottom"/>
            <w:gridSpan w:val="11"/>
          </w:tcPr>
          <w:p>
            <w:pPr>
              <w:jc w:val="center"/>
              <w:ind w:left="4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2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02/06/2026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100,000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1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160,000</w:t>
            </w:r>
          </w:p>
        </w:tc>
        <w:tc>
          <w:tcPr>
            <w:tcW w:w="640" w:type="dxa"/>
            <w:vAlign w:val="bottom"/>
          </w:tcPr>
          <w:p>
            <w:pPr>
              <w:ind w:left="3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4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7007225</wp:posOffset>
            </wp:positionH>
            <wp:positionV relativeFrom="paragraph">
              <wp:posOffset>-1742440</wp:posOffset>
            </wp:positionV>
            <wp:extent cx="28575" cy="174752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" cy="17475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Granted pursuant to Issuer's 2025 Equity Incentive Plan. Each restricted stock unit ("RSU") represents the contingent right to receive, upon vesting, one share of the Issuer's common stock.</w:t>
      </w:r>
    </w:p>
    <w:p>
      <w:pPr>
        <w:spacing w:after="0" w:line="41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20% immediately vested and remainder vest at a rate of 20% every six months thereafter.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/s/ Kevin Ontiveros, by power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02/10/2026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720" w:type="dxa"/>
            <w:vAlign w:val="bottom"/>
            <w:vMerge w:val="restart"/>
          </w:tcPr>
          <w:p>
            <w:pPr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of attorney</w:t>
            </w:r>
          </w:p>
        </w:tc>
        <w:tc>
          <w:tcPr>
            <w:tcW w:w="14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72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700"/>
        <w:spacing w:after="0" w:line="332" w:lineRule="auto"/>
        <w:tabs>
          <w:tab w:leader="none" w:pos="175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598504" TargetMode="External"/><Relationship Id="rId14" Type="http://schemas.openxmlformats.org/officeDocument/2006/relationships/hyperlink" Target="http://www.sec.gov/cgi-bin/browse-edgar?action=getcompany&amp;CIK=000126902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2026-02-10T19:51:50Z</dcterms:created>
  <dcterms:modified xsi:type="dcterms:W3CDTF">2026-02-10T19:51:50Z</dcterms:modified>
</cp:coreProperties>
</file>