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001-33624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1885 West 2100 South</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Salt Lake City, UT 84119</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(801) 839-3500</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 in Officer Position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March 16, 2026, Eric Olson will cease serving as President of SINTX Technologies, Inc. (the “Company”) and will continue to serve as Chairman of the Board and Chief Executive Officer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Appointment of President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2026, the Company announced the appointment of Ryan Elmore as President of the Company, effective March 16, 2026. Mr. Elmore will report to the Company’s Chief Executive Officer.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Elmore has over 20 years of leadership experience in the medical device and life sciences industries, including senior executive roles with responsibility for research and development, commercial operations, and international business expansion. Prior to joining the Company, Mr. Elmore served in various leadership positions at Invibio, a division of Victrex plc. He most recently served as Core Business Director since September 2021, where he was responsible for commercial leadership within advanced biomaterials and medical device markets. From October 2010 to November 2021, he served as Global Head of Sales, with responsibility for global commercial strategy and sales execution.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Elmore and any other person pursuant to which he was selected as President. There are no family relationships between Mr. Elmore and any director or executive officer of the Company, and there are no related party transactions involving Mr. Elmore that would require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Executive Employment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the Company entered into an Executive Employment Agreement with Mr. Elmore, effective February 6, 2026, with an employment commencement date of March 16,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agreement:</w:t>
      </w:r>
    </w:p>
    <w:p>
      <w:pPr>
        <w:spacing w:after="0" w:line="2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$375,000 per year.</w:t>
      </w:r>
    </w:p>
    <w:p>
      <w:pPr>
        <w:spacing w:after="0" w:line="3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Eligible for an annual cash bonus with a target opportunity of 35% of base salary. Mr. Elmore’s annual bonus for his first year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is guaranteed.</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Sign-On Bonus: </w:t>
      </w:r>
      <w:r>
        <w:rPr>
          <w:rFonts w:ascii="Times New Roman" w:cs="Times New Roman" w:eastAsia="Times New Roman" w:hAnsi="Times New Roman"/>
          <w:sz w:val="18"/>
          <w:szCs w:val="18"/>
          <w:color w:val="auto"/>
        </w:rPr>
        <w:t>$100,000 payable upon commencement of employment, subject to repayment if Mr. Elmore voluntarily terminates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twelve months of his start date.</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Upon commencement of employment, Mr. Elmore will receive a restricted stock unit award with a grant date value of $300,000,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20% vesting on the grant date and the remainder vesting in equal installments over the following 24 months, subject to continued employment. He will also be eligible to receive additional equity awards, including awards tied to the achievement of specified international business milestones.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Eligible to participate in the Company’s employee benefit plans available to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provides that if Mr. Elmore’s employment is terminated by the Company without cause or by Mr. Elmore for good reason, he will be entitled to receive accrued compensation and severance benefits, including a cash payment equal to two times the sum of his base salary and target bonus and continued health benefit coverage (or cash payments in lieu thereof) for up to 24 months, subject to execution of a release of claims. The agreement provides for enhanced severance protections in connection with certain change in control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Elmore’s employment is subject to customary pre-employment conditions, including successful completion of background and drug screening.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Executive Employment Agreement does not purport to be complete and is qualified in its entirety by reference to the full text of the agreement, which is filed as Exhibit 10.1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(d) Exhibits.</w:t>
            </w:r>
          </w:p>
        </w:tc>
        <w:tc>
          <w:tcPr>
            <w:tcW w:w="18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spacing w:after="0"/>
              <w:rPr>
                <w:sz w:val="24"/>
                <w:szCs w:val="24"/>
                <w:color w:val="auto"/>
              </w:rPr>
            </w:pPr>
          </w:p>
        </w:tc>
        <w:tc>
          <w:tcPr>
            <w:tcW w:w="10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8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Employment Agreement, dated February 6, 2026, by and between SINTX Technologies, Inc. and Ryan Elmore</w:t>
            </w:r>
          </w:p>
        </w:tc>
        <w:tc>
          <w:tcPr>
            <w:tcW w:w="1280" w:type="dxa"/>
            <w:vAlign w:val="bottom"/>
          </w:tcPr>
          <w:p>
            <w:pPr>
              <w:spacing w:after="0"/>
              <w:rPr>
                <w:sz w:val="17"/>
                <w:szCs w:val="17"/>
                <w:color w:val="auto"/>
              </w:rPr>
            </w:pPr>
          </w:p>
        </w:tc>
      </w:tr>
      <w:tr>
        <w:trPr>
          <w:trHeight w:val="264"/>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2"/>
                <w:szCs w:val="22"/>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immaterial provisions of the Executive Employment Agreement have been omitted pursuant to Item 601(b)(10)(iv) of Regulation S-K because the omitted information is not material and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K. Olson</w:t>
            </w:r>
          </w:p>
        </w:tc>
      </w:tr>
      <w:tr>
        <w:trPr>
          <w:trHeight w:val="191"/>
        </w:trPr>
        <w:tc>
          <w:tcPr>
            <w:tcW w:w="58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K. Olson</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omitted from this exhibit because it is both (i) not material and (ii) would likely cause competitive harm to the registrant if publicly disclosed. Information that has been omitted has been noted in this exhibit with brackets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February 6,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SINTX Technologies, Inc. (together with its successors and assigns,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Ryan Elmore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be employed by the Company, as the Company’s President reporting to the Company’s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Company and Executive now desire to enter into this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omitted from this exhibit because it is both (i) not material and (ii) would likely cause competitive harm to the registrant if publicly disclosed. Information that has been omitted has been noted in this exhibit with brackets ([***]).</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covenants and conditions herein, and other good and valuable consideration, the receipt and adequacy of which is hereby acknowledged, the parties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Term and Start Date.</w:t>
      </w:r>
    </w:p>
    <w:p>
      <w:pPr>
        <w:spacing w:after="0" w:line="252"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and Start Date. </w:t>
      </w:r>
      <w:r>
        <w:rPr>
          <w:rFonts w:ascii="Times New Roman" w:cs="Times New Roman" w:eastAsia="Times New Roman" w:hAnsi="Times New Roman"/>
          <w:sz w:val="18"/>
          <w:szCs w:val="18"/>
          <w:color w:val="auto"/>
        </w:rPr>
        <w:t>The Company hereby agrees to employ Executive, and Executive hereby accepts employment by the Company,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hereinafter set forth. Executive’s term of employment by the Company under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March 16, 2026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and end on the third anniversary thereof, subject to automatic renewal of the Term for additional one-year periods unless either the Company or Executive gives the other party written notice of intent not to renew the Term not less than ninety days before the date on which the Term otherwise would automatically renew. Notwithstanding the foregoing, the Term may be terminated earlier in accordance with Section 5.</w:t>
      </w:r>
    </w:p>
    <w:p>
      <w:pPr>
        <w:spacing w:after="0" w:line="182" w:lineRule="exact"/>
        <w:rPr>
          <w:rFonts w:ascii="Times New Roman" w:cs="Times New Roman" w:eastAsia="Times New Roman" w:hAnsi="Times New Roman"/>
          <w:sz w:val="18"/>
          <w:szCs w:val="18"/>
          <w:b w:val="1"/>
          <w:bCs w:val="1"/>
          <w:color w:val="auto"/>
        </w:rPr>
      </w:pPr>
    </w:p>
    <w:p>
      <w:pPr>
        <w:jc w:val="both"/>
        <w:ind w:left="780" w:hanging="448"/>
        <w:spacing w:after="0" w:line="262" w:lineRule="auto"/>
        <w:tabs>
          <w:tab w:leader="none" w:pos="78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Services Prior to Start Date. </w:t>
      </w:r>
      <w:r>
        <w:rPr>
          <w:rFonts w:ascii="Times New Roman" w:cs="Times New Roman" w:eastAsia="Times New Roman" w:hAnsi="Times New Roman"/>
          <w:sz w:val="18"/>
          <w:szCs w:val="18"/>
          <w:color w:val="auto"/>
        </w:rPr>
        <w:t>Notwithstanding the Effective Date of this Agreement, Executive shall not be deemed an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shall not be required or permitted to perform services for the Company prior to the Start Date. Except as expressly provided herein, no compensation, benefits, equity vesting, service credit, or other employment-related rights shall accrue or be payable prior to the Start Date.</w:t>
      </w:r>
    </w:p>
    <w:p>
      <w:pPr>
        <w:spacing w:after="0" w:line="176" w:lineRule="exact"/>
        <w:rPr>
          <w:rFonts w:ascii="Times New Roman" w:cs="Times New Roman" w:eastAsia="Times New Roman" w:hAnsi="Times New Roman"/>
          <w:sz w:val="18"/>
          <w:szCs w:val="18"/>
          <w:b w:val="1"/>
          <w:bCs w:val="1"/>
          <w:color w:val="auto"/>
        </w:rPr>
      </w:pPr>
    </w:p>
    <w:p>
      <w:pPr>
        <w:jc w:val="both"/>
        <w:ind w:left="780" w:hanging="448"/>
        <w:spacing w:after="0" w:line="275" w:lineRule="auto"/>
        <w:tabs>
          <w:tab w:leader="none" w:pos="780" w:val="left"/>
        </w:tabs>
        <w:numPr>
          <w:ilvl w:val="1"/>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Background Check and Drug Test. </w:t>
      </w:r>
      <w:r>
        <w:rPr>
          <w:rFonts w:ascii="Times New Roman" w:cs="Times New Roman" w:eastAsia="Times New Roman" w:hAnsi="Times New Roman"/>
          <w:sz w:val="17"/>
          <w:szCs w:val="17"/>
          <w:color w:val="auto"/>
        </w:rPr>
        <w:t>Executive’s employment with the Company and the commencement of the Term are expressly</w:t>
      </w:r>
      <w:r>
        <w:rPr>
          <w:rFonts w:ascii="Times New Roman" w:cs="Times New Roman" w:eastAsia="Times New Roman" w:hAnsi="Times New Roman"/>
          <w:sz w:val="17"/>
          <w:szCs w:val="17"/>
          <w:b w:val="1"/>
          <w:bCs w:val="1"/>
          <w:color w:val="auto"/>
        </w:rPr>
        <w:t xml:space="preserve"> conditioned upon Executive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successful completion,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reasonable satisfaction, of any required background check and drug screening in accordance with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s policies applicable to senior executives, </w:t>
      </w:r>
      <w:r>
        <w:rPr>
          <w:rFonts w:ascii="Times New Roman" w:cs="Times New Roman" w:eastAsia="Times New Roman" w:hAnsi="Times New Roman"/>
          <w:sz w:val="17"/>
          <w:szCs w:val="17"/>
          <w:color w:val="auto"/>
        </w:rPr>
        <w:t>and Executive’s authorization of the same.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Executive fails to successfully complete any such background check or drug screening, or fails to timely cooperate with the Company’s requests in connection therewith, </w:t>
      </w:r>
      <w:r>
        <w:rPr>
          <w:rFonts w:ascii="Times New Roman" w:cs="Times New Roman" w:eastAsia="Times New Roman" w:hAnsi="Times New Roman"/>
          <w:sz w:val="17"/>
          <w:szCs w:val="17"/>
          <w:b w:val="1"/>
          <w:bCs w:val="1"/>
          <w:color w:val="auto"/>
        </w:rPr>
        <w:t>the Company may rescind this Agreement and/or terminate this Agreement prior to the Start Date,</w:t>
      </w:r>
      <w:r>
        <w:rPr>
          <w:rFonts w:ascii="Times New Roman" w:cs="Times New Roman" w:eastAsia="Times New Roman" w:hAnsi="Times New Roman"/>
          <w:sz w:val="17"/>
          <w:szCs w:val="17"/>
          <w:color w:val="auto"/>
        </w:rPr>
        <w:t xml:space="preserve"> and Executive shall not be entitled to any compensation, severance, or benefits under this Agreement other than rights that expressly survive termination.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Duties and Responsibilities, Location, and Commuting.</w:t>
      </w:r>
    </w:p>
    <w:p>
      <w:pPr>
        <w:spacing w:after="0" w:line="252" w:lineRule="exact"/>
        <w:rPr>
          <w:rFonts w:ascii="Times New Roman" w:cs="Times New Roman" w:eastAsia="Times New Roman" w:hAnsi="Times New Roman"/>
          <w:sz w:val="18"/>
          <w:szCs w:val="18"/>
          <w:b w:val="1"/>
          <w:bCs w:val="1"/>
          <w:color w:val="auto"/>
        </w:rPr>
      </w:pPr>
    </w:p>
    <w:p>
      <w:pPr>
        <w:jc w:val="both"/>
        <w:ind w:left="780" w:hanging="448"/>
        <w:spacing w:after="0" w:line="268" w:lineRule="auto"/>
        <w:tabs>
          <w:tab w:leader="none" w:pos="7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and Duties. </w:t>
      </w:r>
      <w:r>
        <w:rPr>
          <w:rFonts w:ascii="Times New Roman" w:cs="Times New Roman" w:eastAsia="Times New Roman" w:hAnsi="Times New Roman"/>
          <w:sz w:val="18"/>
          <w:szCs w:val="18"/>
          <w:color w:val="auto"/>
        </w:rPr>
        <w:t>During the Term, the Company shall employ Executive to serve as its President. Executive shall report directly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Chief Executive Officer. Executive’s duties shall include those duties set forth on Appendix A, attached hereto, and such other duties as may be assigned to Executive from time to time.</w:t>
      </w:r>
    </w:p>
    <w:p>
      <w:pPr>
        <w:spacing w:after="0" w:line="170" w:lineRule="exact"/>
        <w:rPr>
          <w:rFonts w:ascii="Times New Roman" w:cs="Times New Roman" w:eastAsia="Times New Roman" w:hAnsi="Times New Roman"/>
          <w:sz w:val="18"/>
          <w:szCs w:val="18"/>
          <w:b w:val="1"/>
          <w:bCs w:val="1"/>
          <w:color w:val="auto"/>
        </w:rPr>
      </w:pPr>
    </w:p>
    <w:p>
      <w:pPr>
        <w:jc w:val="both"/>
        <w:ind w:left="780" w:hanging="448"/>
        <w:spacing w:after="0" w:line="256" w:lineRule="auto"/>
        <w:tabs>
          <w:tab w:leader="none" w:pos="7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Exclusive Services and Efforts. </w:t>
      </w:r>
      <w:r>
        <w:rPr>
          <w:rFonts w:ascii="Times New Roman" w:cs="Times New Roman" w:eastAsia="Times New Roman" w:hAnsi="Times New Roman"/>
          <w:sz w:val="18"/>
          <w:szCs w:val="18"/>
          <w:color w:val="auto"/>
        </w:rPr>
        <w:t>Executive agrees to devote his efforts, energies, and skill to the discharge of the duties and responsibilities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his position and, except as set forth herein, agrees to devote substantially all of his professional time and attention to the business and affairs of the Company. Notwithstanding the foregoing, Executive shall be entitled to engage in (a) service on the board of directors of for-profit and not-for-profit companies, organizations, businesses or trade organizations at any time during the Term (provided that Executive shall not serve on the board of any entity that materially competes with the Company), (b) other charitable activities and community affairs, and (c) management of his personal and family investments and affairs, in each case to the extent such activities do not, either individually or in the aggregate, materially interfere with the performance of his duties and responsibilities to the Company.</w:t>
      </w:r>
    </w:p>
    <w:p>
      <w:pPr>
        <w:spacing w:after="0" w:line="182" w:lineRule="exact"/>
        <w:rPr>
          <w:rFonts w:ascii="Times New Roman" w:cs="Times New Roman" w:eastAsia="Times New Roman" w:hAnsi="Times New Roman"/>
          <w:sz w:val="18"/>
          <w:szCs w:val="18"/>
          <w:b w:val="1"/>
          <w:bCs w:val="1"/>
          <w:color w:val="auto"/>
        </w:rPr>
      </w:pPr>
    </w:p>
    <w:p>
      <w:pPr>
        <w:jc w:val="both"/>
        <w:ind w:left="780" w:hanging="448"/>
        <w:spacing w:after="0" w:line="262" w:lineRule="auto"/>
        <w:tabs>
          <w:tab w:leader="none" w:pos="7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Company Policies. </w:t>
      </w:r>
      <w:r>
        <w:rPr>
          <w:rFonts w:ascii="Times New Roman" w:cs="Times New Roman" w:eastAsia="Times New Roman" w:hAnsi="Times New Roman"/>
          <w:sz w:val="18"/>
          <w:szCs w:val="18"/>
          <w:color w:val="auto"/>
        </w:rPr>
        <w:t>To the extent not inconsistent with the terms and conditions of this Agreement and with due regard for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Executive shall be subject to the Bylaws, policies, practices, procedures, and rules of the Company, including those policies and procedures set forth in the Company’s Code of Conduct and Ethics and Employee Handbook, but in no event shall anything in such documents be construed to expand the definition of Cause hereunder.</w:t>
      </w:r>
    </w:p>
    <w:p>
      <w:pPr>
        <w:spacing w:after="0" w:line="176" w:lineRule="exact"/>
        <w:rPr>
          <w:rFonts w:ascii="Times New Roman" w:cs="Times New Roman" w:eastAsia="Times New Roman" w:hAnsi="Times New Roman"/>
          <w:sz w:val="18"/>
          <w:szCs w:val="18"/>
          <w:b w:val="1"/>
          <w:bCs w:val="1"/>
          <w:color w:val="auto"/>
        </w:rPr>
      </w:pPr>
    </w:p>
    <w:p>
      <w:pPr>
        <w:jc w:val="both"/>
        <w:ind w:left="780" w:hanging="448"/>
        <w:spacing w:after="0" w:line="268" w:lineRule="auto"/>
        <w:tabs>
          <w:tab w:leader="none" w:pos="7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Location of Employment. </w:t>
      </w:r>
      <w:r>
        <w:rPr>
          <w:rFonts w:ascii="Times New Roman" w:cs="Times New Roman" w:eastAsia="Times New Roman" w:hAnsi="Times New Roman"/>
          <w:sz w:val="18"/>
          <w:szCs w:val="18"/>
          <w:color w:val="auto"/>
        </w:rPr>
        <w:t>The Executive’s principal office and principal place of employment (“Home Base”), shall be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office in Philadelphia, Pennsylvania; provided that Executive will be required under business circumstances to travel outside of such location in connection with performing his or her duties under this Agreement.</w:t>
      </w:r>
    </w:p>
    <w:p>
      <w:pPr>
        <w:spacing w:after="0" w:line="170"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Confidentiality, Intellectual Property and Non-Solicitation Agreement. </w:t>
      </w:r>
      <w:r>
        <w:rPr>
          <w:rFonts w:ascii="Times New Roman" w:cs="Times New Roman" w:eastAsia="Times New Roman" w:hAnsi="Times New Roman"/>
          <w:sz w:val="18"/>
          <w:szCs w:val="18"/>
          <w:color w:val="auto"/>
        </w:rPr>
        <w:t>As a condition of employment, the Executive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sign the Company’s standard Employee Confidentiality, Intellectual Property and Non-Solicitation Agreement. This agreement shall include, among other provisions, an obligation not to solicit the Company’s customers or employees for a period of eighteen (18) months following the Executive’s departure from the Company. The agreement will also contain a non-compete provision specifically tailored to the medical device and biomaterials sectors, subject to applicable Utah and international employment law limitations. Exceptions to these restrictions may be negotiated in advance, depending on operational needs and as approved by the Company.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6" w:name="page7"/>
    <w:bookmarkEnd w:id="6"/>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52"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During the first year of the Term, the Company shall pay to Executive an annual salary of $375,000.00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shall commence accruing as of the Start Date. Thereafter,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consider increases in Base Salary for subsequent years in connection with performance and a review of compensation provided at peer companies, which companies shall be subject to review on a continuing basis (the “</w:t>
      </w:r>
      <w:r>
        <w:rPr>
          <w:rFonts w:ascii="Times New Roman" w:cs="Times New Roman" w:eastAsia="Times New Roman" w:hAnsi="Times New Roman"/>
          <w:sz w:val="18"/>
          <w:szCs w:val="18"/>
          <w:b w:val="1"/>
          <w:bCs w:val="1"/>
          <w:color w:val="auto"/>
        </w:rPr>
        <w:t>Peer Group</w:t>
      </w:r>
      <w:r>
        <w:rPr>
          <w:rFonts w:ascii="Times New Roman" w:cs="Times New Roman" w:eastAsia="Times New Roman" w:hAnsi="Times New Roman"/>
          <w:sz w:val="18"/>
          <w:szCs w:val="18"/>
          <w:color w:val="auto"/>
        </w:rPr>
        <w:t>”), taking into account Company and individual performance objectives. Executive’s Base Salary shall not be decreased (including after any increases pursuant to this Section 3(a)) without Executive’s written consent.</w:t>
      </w:r>
    </w:p>
    <w:p>
      <w:pPr>
        <w:spacing w:after="0" w:line="182" w:lineRule="exact"/>
        <w:rPr>
          <w:rFonts w:ascii="Times New Roman" w:cs="Times New Roman" w:eastAsia="Times New Roman" w:hAnsi="Times New Roman"/>
          <w:sz w:val="18"/>
          <w:szCs w:val="18"/>
          <w:b w:val="1"/>
          <w:bCs w:val="1"/>
          <w:color w:val="auto"/>
        </w:rPr>
      </w:pPr>
    </w:p>
    <w:p>
      <w:pPr>
        <w:jc w:val="both"/>
        <w:ind w:left="780" w:hanging="448"/>
        <w:spacing w:after="0" w:line="256" w:lineRule="auto"/>
        <w:tabs>
          <w:tab w:leader="none" w:pos="7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Cash Bonus. </w:t>
      </w:r>
      <w:r>
        <w:rPr>
          <w:rFonts w:ascii="Times New Roman" w:cs="Times New Roman" w:eastAsia="Times New Roman" w:hAnsi="Times New Roman"/>
          <w:sz w:val="18"/>
          <w:szCs w:val="18"/>
          <w:color w:val="auto"/>
        </w:rPr>
        <w:t>During the Term, Executive shall have an annual target cash bonus opportunity of 35% of one year’s Base Salary.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award Executive’s annual cash bonus based on an evaluation of performance and Peer Group compensation practices, taking into account Company and individual performance objectives. In its sole discretion, the Committee may award an annual cash bonus in excess of the annual cash bonus opportunity. Notwithstanding the foregoing, the Committee may grant a special bonus at any time. Annual cash bonuses shall be deemed “earned” if Executive is employed on the last day of the year to which the bonus relates and shall be paid no later than March 15th of the year immediately following the year to which the annual bonus relates. Executive’s bonus for his first year of employment is guaranteed and shall be paid on or prior to March 15, 2027.</w:t>
      </w:r>
    </w:p>
    <w:p>
      <w:pPr>
        <w:spacing w:after="0" w:line="182" w:lineRule="exact"/>
        <w:rPr>
          <w:rFonts w:ascii="Times New Roman" w:cs="Times New Roman" w:eastAsia="Times New Roman" w:hAnsi="Times New Roman"/>
          <w:sz w:val="18"/>
          <w:szCs w:val="18"/>
          <w:b w:val="1"/>
          <w:bCs w:val="1"/>
          <w:color w:val="auto"/>
        </w:rPr>
      </w:pPr>
    </w:p>
    <w:p>
      <w:pPr>
        <w:jc w:val="both"/>
        <w:ind w:left="780" w:hanging="448"/>
        <w:spacing w:after="0" w:line="262" w:lineRule="auto"/>
        <w:tabs>
          <w:tab w:leader="none" w:pos="7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Long-Term Incentive Award. </w:t>
      </w:r>
      <w:r>
        <w:rPr>
          <w:rFonts w:ascii="Times New Roman" w:cs="Times New Roman" w:eastAsia="Times New Roman" w:hAnsi="Times New Roman"/>
          <w:sz w:val="18"/>
          <w:szCs w:val="18"/>
          <w:color w:val="auto"/>
        </w:rPr>
        <w:t>During the Term, Executive will be eligible for an annual target long-term incentive award opportunity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the Committee based on an evaluation of performance and Peer Group compensation practices, taking into account Company and individual performance objectives. Notwithstanding the foregoing, the Committee may grant a special long-term incentive award at any time. Awards granted under the Equity Incentive Plan shall be subject to the terms and conditions of such plan and the award agreement.</w:t>
      </w:r>
    </w:p>
    <w:p>
      <w:pPr>
        <w:spacing w:after="0" w:line="176"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RSU Award. </w:t>
      </w:r>
      <w:r>
        <w:rPr>
          <w:rFonts w:ascii="Times New Roman" w:cs="Times New Roman" w:eastAsia="Times New Roman" w:hAnsi="Times New Roman"/>
          <w:sz w:val="18"/>
          <w:szCs w:val="18"/>
          <w:color w:val="auto"/>
        </w:rPr>
        <w:t>Effective as of the Start Date, Executive shall be granted an award of restricted stock units (“RSUs”) with a total grant date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$300,000.00. The exact number of RSUs to be granted shall be calculated by dividing $300,000.00 by the closing price of the Company’s common stock as reported on the Nasdaq Capital Market on the Start Date (the “Grant Date”). Any resulting fractional RSU shall be rounded up to the nearest whole unit. The RSUs shall vest as follows: 20% of the total RSU award shall vest immediately on the Grant Date, and the remaining 80% shall vest in equal 20% installments every six months thereafter, such that the RSUs will be fully vested after 24 months from the Grant Date, subject to Executive’s continued employment with the Company on each applicable vesting date.</w:t>
      </w:r>
    </w:p>
    <w:p>
      <w:pPr>
        <w:spacing w:after="0" w:line="182"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RSU Grants for International Achievements. </w:t>
      </w:r>
      <w:r>
        <w:rPr>
          <w:rFonts w:ascii="Times New Roman" w:cs="Times New Roman" w:eastAsia="Times New Roman" w:hAnsi="Times New Roman"/>
          <w:sz w:val="18"/>
          <w:szCs w:val="18"/>
          <w:color w:val="auto"/>
        </w:rPr>
        <w:t>In addition to the initial RSU award described above, Executive shall be eligible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additional grants of restricted stock units (“RSUs”) upon the occurrence of the following international business milestones, including: (a) Achievement of defined international sales milestones, as determined and approved by the Board of Directors; (b) Signing of major international distribution agreements, as identified and approved by the Board of Directors; (c) Establishment of profitable international operations, as evidenced by audited financial statements and approved by the Board of Directors. Each additional RSU grant shall be subject to terms and conditions, including grant value and vesting schedule, as determined by the Board of Directors at the time of the award.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7" w:name="page8"/>
    <w:bookmarkEnd w:id="7"/>
    <w:p>
      <w:pPr>
        <w:jc w:val="both"/>
        <w:ind w:left="780" w:hanging="448"/>
        <w:spacing w:after="0" w:line="262" w:lineRule="auto"/>
        <w:tabs>
          <w:tab w:leader="none" w:pos="78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Sign-on Cash Bonus. </w:t>
      </w:r>
      <w:r>
        <w:rPr>
          <w:rFonts w:ascii="Times New Roman" w:cs="Times New Roman" w:eastAsia="Times New Roman" w:hAnsi="Times New Roman"/>
          <w:sz w:val="18"/>
          <w:szCs w:val="18"/>
          <w:color w:val="auto"/>
        </w:rPr>
        <w:t>Upon commencement of employment on the Start Date, the Executive shall receive a sign-on cash bonus in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 payable on the Executive’s Start Date, subject to applicable federal and state tax withholding. If the Executive voluntarily terminates employment with the Company within twelve (12) months following the Start Date, the Executive agrees to repay the full amount of the sign-on bonus to the Company within thirty (30) days of such termination.</w:t>
      </w:r>
    </w:p>
    <w:p>
      <w:pPr>
        <w:spacing w:after="0" w:line="20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 and Perquisites.</w:t>
      </w:r>
    </w:p>
    <w:p>
      <w:pPr>
        <w:spacing w:after="0" w:line="252" w:lineRule="exact"/>
        <w:rPr>
          <w:rFonts w:ascii="Times New Roman" w:cs="Times New Roman" w:eastAsia="Times New Roman" w:hAnsi="Times New Roman"/>
          <w:sz w:val="18"/>
          <w:szCs w:val="18"/>
          <w:b w:val="1"/>
          <w:bCs w:val="1"/>
          <w:color w:val="auto"/>
        </w:rPr>
      </w:pPr>
    </w:p>
    <w:p>
      <w:pPr>
        <w:jc w:val="both"/>
        <w:ind w:left="780" w:hanging="448"/>
        <w:spacing w:after="0" w:line="259" w:lineRule="auto"/>
        <w:tabs>
          <w:tab w:leader="none" w:pos="7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Executive shall be entitled to participate in such health, group insurance, welfare, pension, and other employee benefit plans,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arrangements as are made generally available from time to time to senior executives of the Company (which shall include customary health, life insurance, and disability plans), such participation in each case to be on terms and conditions no less favorable to Executive than to other senior executives of the Company generally. Executive’s participation in Company benefit plans shall commence as of the Start Date, subject to plan terms.</w:t>
      </w:r>
    </w:p>
    <w:p>
      <w:pPr>
        <w:spacing w:after="0" w:line="179" w:lineRule="exact"/>
        <w:rPr>
          <w:rFonts w:ascii="Times New Roman" w:cs="Times New Roman" w:eastAsia="Times New Roman" w:hAnsi="Times New Roman"/>
          <w:sz w:val="18"/>
          <w:szCs w:val="18"/>
          <w:b w:val="1"/>
          <w:bCs w:val="1"/>
          <w:color w:val="auto"/>
        </w:rPr>
      </w:pPr>
    </w:p>
    <w:p>
      <w:pPr>
        <w:jc w:val="both"/>
        <w:ind w:left="780" w:hanging="448"/>
        <w:spacing w:after="0" w:line="262" w:lineRule="auto"/>
        <w:tabs>
          <w:tab w:leader="none" w:pos="7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Fringe Benefits, Perquisites, and Paid Time Off. </w:t>
      </w:r>
      <w:r>
        <w:rPr>
          <w:rFonts w:ascii="Times New Roman" w:cs="Times New Roman" w:eastAsia="Times New Roman" w:hAnsi="Times New Roman"/>
          <w:sz w:val="18"/>
          <w:szCs w:val="18"/>
          <w:color w:val="auto"/>
        </w:rPr>
        <w:t>During the Term, Executive shall be entitled to participate in all fringe benefits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perquisites made available to other senior executives of the Company, such participation to be at levels, and on terms and conditions, that are commensurate with his position and responsibilities at the Company and that are no less favorable than those applicable to other senior executives of the Company. Executive shall be eligible for paid time off (“</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in accordance with the Company’s vacation and PTO policy.</w:t>
      </w:r>
    </w:p>
    <w:p>
      <w:pPr>
        <w:spacing w:after="0" w:line="176" w:lineRule="exact"/>
        <w:rPr>
          <w:rFonts w:ascii="Times New Roman" w:cs="Times New Roman" w:eastAsia="Times New Roman" w:hAnsi="Times New Roman"/>
          <w:sz w:val="18"/>
          <w:szCs w:val="18"/>
          <w:b w:val="1"/>
          <w:bCs w:val="1"/>
          <w:color w:val="auto"/>
        </w:rPr>
      </w:pPr>
    </w:p>
    <w:p>
      <w:pPr>
        <w:jc w:val="both"/>
        <w:ind w:left="780" w:hanging="448"/>
        <w:spacing w:after="0" w:line="268" w:lineRule="auto"/>
        <w:tabs>
          <w:tab w:leader="none" w:pos="7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Reimbursement of Expenses. </w:t>
      </w:r>
      <w:r>
        <w:rPr>
          <w:rFonts w:ascii="Times New Roman" w:cs="Times New Roman" w:eastAsia="Times New Roman" w:hAnsi="Times New Roman"/>
          <w:sz w:val="18"/>
          <w:szCs w:val="18"/>
          <w:color w:val="auto"/>
        </w:rPr>
        <w:t>The Company shall reimburse Executive for all reasonable business and travel expenses incurred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his job duties and the promotion of the Company’s business, promptly upon presentation of appropriate supporting documentation and otherwise in accordance with the expense reimbursement policy of the Company.</w:t>
      </w:r>
    </w:p>
    <w:p>
      <w:pPr>
        <w:spacing w:after="0" w:line="19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Change in Control.</w:t>
      </w:r>
    </w:p>
    <w:p>
      <w:pPr>
        <w:spacing w:after="0" w:line="252"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Company may terminate Executive’s employment for Cause. Executive may terminate his employment at any time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Good Reason. The Company may terminate Executive’s employment without Cause, or Executive may terminate Executive’s employment with Good Reason, in each case, upon providing the other party at least thirty days’ written notice thereof. Upon termination of Executive’s employment, Executive shall be entitled to the compensation and benefits described in this Section 5 to the extent applicable and shall have no further rights to any compensation or benefits from the Company. For purposes of this Agreement, the following terms have the following meanings:</w:t>
      </w:r>
    </w:p>
    <w:p>
      <w:pPr>
        <w:spacing w:after="0" w:line="209" w:lineRule="exact"/>
        <w:rPr>
          <w:rFonts w:ascii="Times New Roman" w:cs="Times New Roman" w:eastAsia="Times New Roman" w:hAnsi="Times New Roman"/>
          <w:sz w:val="18"/>
          <w:szCs w:val="18"/>
          <w:b w:val="1"/>
          <w:bCs w:val="1"/>
          <w:color w:val="auto"/>
        </w:rPr>
      </w:pPr>
    </w:p>
    <w:p>
      <w:pPr>
        <w:jc w:val="both"/>
        <w:ind w:left="1160" w:hanging="315"/>
        <w:spacing w:after="0" w:line="254" w:lineRule="auto"/>
        <w:tabs>
          <w:tab w:leader="none" w:pos="11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shall mean: (i) accrued but unpaid Base Salary through the Termination Date, payable within thirty days following the Termination Date; (ii) any annual cash bonus earned but unpaid with respect to the year preceding the year in which the Termination Date occurs, payable in accordance with Section 3(b) above; (iii) any long-term incentive award earned but unpaid with respect to performance periods that ended in the year preceding the year in which Termination Date occurs, payable in accordance with Section 3(c) above; (iv) reimbursement for any unreimbursed business expenses incurred through the Termination Date and any expenses incurred through the Termination Date under Section 4(c) above, payable within thirty days following the Termination Date; (v) accrued but unused PTO days in accordance with Company policy; and (vi) all other payments, benefits, or fringe benefits to which Executive shall be entitled as of the Termination Date under the terms of this Agreement or any other applicable compensation arrangement or benefit, equity, or fringe benefit plan or program or grant.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8" w:name="page9"/>
    <w:bookmarkEnd w:id="8"/>
    <w:p>
      <w:pPr>
        <w:ind w:left="315" w:hanging="315"/>
        <w:spacing w:after="0"/>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(i) the Executive’s commission of a felony (other than through vicarious liability or through a motor vehicle offense);</w:t>
      </w:r>
    </w:p>
    <w:p>
      <w:pPr>
        <w:spacing w:after="0" w:line="31" w:lineRule="exact"/>
        <w:rPr>
          <w:rFonts w:ascii="Times New Roman" w:cs="Times New Roman" w:eastAsia="Times New Roman" w:hAnsi="Times New Roman"/>
          <w:sz w:val="18"/>
          <w:szCs w:val="18"/>
          <w:color w:val="auto"/>
        </w:rPr>
      </w:pPr>
    </w:p>
    <w:p>
      <w:pPr>
        <w:jc w:val="both"/>
        <w:ind w:left="315" w:firstLine="9"/>
        <w:spacing w:after="0" w:line="252" w:lineRule="auto"/>
        <w:tabs>
          <w:tab w:leader="none" w:pos="6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misconduct that causes material harm to the Company, provided that such misconduct is not rectifiable or remains uncorrected after written notice and a 30-day cure period; (iii) the commission by the Executive of an act of fraud, embezzlement or misappropriation of funds; (iv) a material breach by the Executive of any material provision of this Agreement or any other agreement to which the Executive and the Company are party, which breach is not cured within thirty (30) days after delivery to the Executive by the Company of written notice of such breach; or (v) the Executive’s refusal to carry out a lawful written directive from the CEO and/or Board which is within Executive’s normal Company duties. Any determination of Cause will need to be made by the full Board voting on such determination.</w:t>
      </w:r>
    </w:p>
    <w:p>
      <w:pPr>
        <w:spacing w:after="0" w:line="184" w:lineRule="exact"/>
        <w:rPr>
          <w:rFonts w:ascii="Times New Roman" w:cs="Times New Roman" w:eastAsia="Times New Roman" w:hAnsi="Times New Roman"/>
          <w:sz w:val="18"/>
          <w:szCs w:val="18"/>
          <w:color w:val="auto"/>
        </w:rPr>
      </w:pPr>
    </w:p>
    <w:p>
      <w:pPr>
        <w:jc w:val="both"/>
        <w:ind w:left="315" w:hanging="315"/>
        <w:spacing w:after="0" w:line="254"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any of the following that has not been approved in writing in advance by Executive: (i) a diminution of Executive’s titles, duties, responsibilities, or authorities as set forth in this Agreement; (ii) a reduction in Executive’s Base Salary, annual cash bonus opportunity, or annual long-term incentive award opportunity, or failure to pay earned compensation; (iii) relocation of the Company’s offices to a location more than thirty miles from the Executive’s Home Base; (iv) a material breach by the Company of this Agreement or any equity award agreement; or (v) a material change in the Executive’s compensation or authority, functions, duties or responsibilities, which would cause his position with the Company to become of less responsibility, importance or scope than his position on the date of this Agreement or as of any subsequent date prior to a Change in Control, provided, however, that such material change is not in connection with the termination of the Executive’s employment by the Company for any reason. A termination of employment by Executive during the one-year period following the occurrence of an event or circumstance constituting Good Reason shall be deemed a termination for Good Reason under this Agreement. In addition, any termination of employment by Executive during the one-year period following a Change in Control shall be deemed to be a termination for Good Reason under this Agreement.</w:t>
      </w:r>
    </w:p>
    <w:p>
      <w:pPr>
        <w:spacing w:after="0" w:line="213" w:lineRule="exact"/>
        <w:rPr>
          <w:sz w:val="20"/>
          <w:szCs w:val="20"/>
          <w:color w:val="auto"/>
        </w:rPr>
      </w:pPr>
    </w:p>
    <w:p>
      <w:pPr>
        <w:ind w:left="4735"/>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95"/>
          </w:cols>
          <w:pgMar w:left="1165" w:top="711" w:right="339" w:bottom="1440" w:gutter="0" w:footer="0" w:header="0"/>
        </w:sectPr>
      </w:pPr>
    </w:p>
    <w:bookmarkStart w:id="9" w:name="page10"/>
    <w:bookmarkEnd w:id="9"/>
    <w:p>
      <w:pPr>
        <w:jc w:val="both"/>
        <w:ind w:left="315" w:hanging="315"/>
        <w:spacing w:after="0" w:line="253"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(i) any “person” (as such term is used in Sections 13(d) and 14(d) of the Securities Exchange Act of 1934, as amended (the “Act”)) becomes the “beneficial owner” (as defined in Rule 13d-3 under the Act), directly or indirectly, of securities of the Company representing 50% or more of the total voting power represented by the Company’s then outstanding voting securities (excluding for this purpose the Company or its Affiliates or any employee benefit plan of the Company) pursuant to a transaction or a series of related transactions of which the Board does not approve; (ii)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50% of the total voting power represented by the voting securities of the Company or such surviving entity or parent of such corporation outstanding immediately after such merger or consolidation; (iii) the stockholders of the Company approve an agreement for the sale or disposition by the Company of all or substantially all of the Company’s assets; or a change in the composition of the Board of Directors whereby individuals who were members of the Board immediately prior to the agreement cease to constitute a majority of the Board. For purposes of this Agreement, “Change in Control” shall be interpreted in a manner, and limited to the extent necessary, so that it will not cause adverse tax consequences for either party with respect to Section 409A of the Internal Revenue Code of 1986, as amended (the “Code”), and the treasury regulations issued thereunder or any guidance issued by the IRS concerning the interpretation or applicability of Section 409A of the Code.</w:t>
      </w:r>
    </w:p>
    <w:p>
      <w:pPr>
        <w:spacing w:after="0" w:line="183" w:lineRule="exact"/>
        <w:rPr>
          <w:rFonts w:ascii="Times New Roman" w:cs="Times New Roman" w:eastAsia="Times New Roman" w:hAnsi="Times New Roman"/>
          <w:sz w:val="18"/>
          <w:szCs w:val="18"/>
          <w:color w:val="auto"/>
        </w:rPr>
      </w:pPr>
    </w:p>
    <w:p>
      <w:pPr>
        <w:jc w:val="both"/>
        <w:ind w:left="315" w:hanging="315"/>
        <w:spacing w:after="0" w:line="253"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Change-in-Control Severance Payments</w:t>
      </w:r>
      <w:r>
        <w:rPr>
          <w:rFonts w:ascii="Times New Roman" w:cs="Times New Roman" w:eastAsia="Times New Roman" w:hAnsi="Times New Roman"/>
          <w:sz w:val="18"/>
          <w:szCs w:val="18"/>
          <w:color w:val="auto"/>
        </w:rPr>
        <w:t>” shall mean (i) a pro-rated annual cash bonus for the year in which the Termination Date occurs (calculated based on the annual target cash bonus opportunity for the year of termination), payable when bonuses are paid to other executives of the Company in the year following the year of the Termination Date; (ii) a lump sum cash payment, payable on the Termination Date, equal to two times the sum of the following: (x) one year’s Base Salary at the annualized rate then in effect (or the rate that should be in effect but for any Base Salary diminution), and, (y) the greater of the annual target cash bonus opportunity for the year of termination or the highest actual annual cash bonus paid during the three preceding completed years (provided, however, that if Executive has not been employed for at least three years in which an annual cash bonus was paid, such calculation will assume that an annual cash bonus equal to the target annual cash bonus opportunity was paid in the missing years); (iii) Medical Payment Amounts, payable each month, commencing on the first day of the month following the Termination Date and continuing until the earlier of twenty four months following the Termination Date or the date on which Executive becomes employed by a third party and becomes eligible to participate in such third party’s group health plan; and (iv) to the extent permissible under applicable law and under any insurance policy insuring the Company’s health plan (if any), access to continued coverage under the Company’s health plan with the full cost payable by Executive for a period of up to twenty four months commencing on the first day of the month following the Termination Date. Executive shall be entitled to the Change-in-Control Severance Payment should Executive’s employment be terminated, other than for Cause, within one year of the occurrence of a Change-in-Control.</w:t>
      </w:r>
    </w:p>
    <w:p>
      <w:pPr>
        <w:spacing w:after="0" w:line="214" w:lineRule="exact"/>
        <w:rPr>
          <w:sz w:val="20"/>
          <w:szCs w:val="20"/>
          <w:color w:val="auto"/>
        </w:rPr>
      </w:pPr>
    </w:p>
    <w:p>
      <w:pPr>
        <w:ind w:left="4735"/>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95"/>
          </w:cols>
          <w:pgMar w:left="1165" w:top="711" w:right="339" w:bottom="1440" w:gutter="0" w:footer="0" w:header="0"/>
        </w:sectPr>
      </w:pPr>
    </w:p>
    <w:bookmarkStart w:id="10" w:name="page11"/>
    <w:bookmarkEnd w:id="10"/>
    <w:p>
      <w:pPr>
        <w:ind w:left="868" w:hanging="355"/>
        <w:spacing w:after="0" w:line="286" w:lineRule="auto"/>
        <w:tabs>
          <w:tab w:leader="none" w:pos="8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Executive has been unable, with or without reasonable accommodation and due to physical or mental incapacity, to substantially perform his duties and responsibilities hereunder for 120 consecutive days.</w:t>
      </w:r>
    </w:p>
    <w:p>
      <w:pPr>
        <w:spacing w:after="0" w:line="154" w:lineRule="exact"/>
        <w:rPr>
          <w:rFonts w:ascii="Times New Roman" w:cs="Times New Roman" w:eastAsia="Times New Roman" w:hAnsi="Times New Roman"/>
          <w:sz w:val="18"/>
          <w:szCs w:val="18"/>
          <w:color w:val="auto"/>
        </w:rPr>
      </w:pPr>
    </w:p>
    <w:p>
      <w:pPr>
        <w:jc w:val="both"/>
        <w:ind w:left="868" w:hanging="355"/>
        <w:spacing w:after="0" w:line="259" w:lineRule="auto"/>
        <w:tabs>
          <w:tab w:leader="none" w:pos="8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Medical Payment Amounts</w:t>
      </w:r>
      <w:r>
        <w:rPr>
          <w:rFonts w:ascii="Times New Roman" w:cs="Times New Roman" w:eastAsia="Times New Roman" w:hAnsi="Times New Roman"/>
          <w:sz w:val="18"/>
          <w:szCs w:val="18"/>
          <w:color w:val="auto"/>
        </w:rPr>
        <w:t>” shall mean an amount, payable on a monthly basis commencing on the first day of the month following the Termination Date, equal to (i) the monthly amount of the Consolidated Omnibus Budget Reconciliation Act continuation coverage premium for such month under the Company’s group medical plans for executives of the Company less the monthly amount of Executive’s portion of the premium for such month as if Executive was still an active employee, plus (ii) a tax gross-up payment so Executive shall have no after-tax consequences with respect to the monthly amount described in clause (i) or the related tax gross-up.</w:t>
      </w:r>
    </w:p>
    <w:p>
      <w:pPr>
        <w:spacing w:after="0" w:line="179" w:lineRule="exact"/>
        <w:rPr>
          <w:sz w:val="20"/>
          <w:szCs w:val="20"/>
          <w:color w:val="auto"/>
        </w:rPr>
      </w:pPr>
    </w:p>
    <w:p>
      <w:pPr>
        <w:jc w:val="both"/>
        <w:ind w:left="868" w:hanging="363"/>
        <w:spacing w:after="0" w:line="254"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b w:val="1"/>
          <w:bCs w:val="1"/>
          <w:color w:val="auto"/>
        </w:rPr>
        <w:t>Severance Payments</w:t>
      </w:r>
      <w:r>
        <w:rPr>
          <w:rFonts w:ascii="Times New Roman" w:cs="Times New Roman" w:eastAsia="Times New Roman" w:hAnsi="Times New Roman"/>
          <w:sz w:val="18"/>
          <w:szCs w:val="18"/>
          <w:color w:val="auto"/>
        </w:rPr>
        <w:t>” shall mean (i) a lump sum cash payment, payable on the Termination Date, equal to two times the sum of the following: (x) one year’s Base Salary at the annualized rate then in effect (or the rate that should be in effect but for any Base Salary diminution), (y) the greater of (I) the annual target cash bonus opportunity for the year of termination or (II) the average annual cash bonus for the three preceding completed years (provided, however, that if Executive has not been employed for at least three years in which an annual cash bonus was paid, such calculation will assume that an annual cash bonus equal to the target annual cash bonus opportunity was paid in the missing years); (ii) Medical Payment Amounts payable each month and continuing until the earlier of twenty four months following the Termination Date or the date on which Executive becomes employed by a third party and becomes eligible to participate in such third party’s group health plan; and (iii) to the extent permissible under applicable law and under any insurance policy insuring the Company’s health plan (if any), access to continued coverage under the Company’s health plan with the full cost payable by Executive for a period of up to twenty-four months commencing on the first day of the month following the Termination Date.</w:t>
      </w:r>
    </w:p>
    <w:p>
      <w:pPr>
        <w:spacing w:after="0" w:line="185" w:lineRule="exact"/>
        <w:rPr>
          <w:sz w:val="20"/>
          <w:szCs w:val="20"/>
          <w:color w:val="auto"/>
        </w:rPr>
      </w:pPr>
    </w:p>
    <w:p>
      <w:pPr>
        <w:jc w:val="both"/>
        <w:ind w:left="868" w:hanging="355"/>
        <w:spacing w:after="0" w:line="268" w:lineRule="auto"/>
        <w:tabs>
          <w:tab w:leader="none" w:pos="8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shall mean the date on which Executive’s employment hereunder terminates in accordance with this Agreement (which, in the case of a notice of non-renewal of the Term in accordance with Section 1 hereof, shall mean the date on which the Term expires).</w:t>
      </w:r>
    </w:p>
    <w:p>
      <w:pPr>
        <w:spacing w:after="0" w:line="197" w:lineRule="exact"/>
        <w:rPr>
          <w:rFonts w:ascii="Times New Roman" w:cs="Times New Roman" w:eastAsia="Times New Roman" w:hAnsi="Times New Roman"/>
          <w:sz w:val="18"/>
          <w:szCs w:val="18"/>
          <w:color w:val="auto"/>
        </w:rPr>
      </w:pPr>
    </w:p>
    <w:p>
      <w:pPr>
        <w:jc w:val="both"/>
        <w:ind w:left="448" w:hanging="448"/>
        <w:spacing w:after="0" w:line="268" w:lineRule="auto"/>
        <w:tabs>
          <w:tab w:leader="none" w:pos="4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Termination by Executive for Good Reason. </w:t>
      </w:r>
      <w:r>
        <w:rPr>
          <w:rFonts w:ascii="Times New Roman" w:cs="Times New Roman" w:eastAsia="Times New Roman" w:hAnsi="Times New Roman"/>
          <w:sz w:val="18"/>
          <w:szCs w:val="18"/>
          <w:color w:val="auto"/>
        </w:rPr>
        <w:t>In the event that Executive’s employment hereunder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by the Company without Cause or by Executive for Good Reason, Executive shall be entitled to receive the Accrued Benefits and the Severance Payments, except as otherwise provided pursuant to Section 5(d).</w:t>
      </w:r>
    </w:p>
    <w:p>
      <w:pPr>
        <w:spacing w:after="0" w:line="170" w:lineRule="exact"/>
        <w:rPr>
          <w:rFonts w:ascii="Times New Roman" w:cs="Times New Roman" w:eastAsia="Times New Roman" w:hAnsi="Times New Roman"/>
          <w:sz w:val="18"/>
          <w:szCs w:val="18"/>
          <w:b w:val="1"/>
          <w:bCs w:val="1"/>
          <w:color w:val="auto"/>
        </w:rPr>
      </w:pPr>
    </w:p>
    <w:p>
      <w:pPr>
        <w:jc w:val="both"/>
        <w:ind w:left="448" w:hanging="448"/>
        <w:spacing w:after="0" w:line="262" w:lineRule="auto"/>
        <w:tabs>
          <w:tab w:leader="none" w:pos="4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Termination by Executive for Good Reason Due to a Change in Control. </w:t>
      </w:r>
      <w:r>
        <w:rPr>
          <w:rFonts w:ascii="Times New Roman" w:cs="Times New Roman" w:eastAsia="Times New Roman" w:hAnsi="Times New Roman"/>
          <w:sz w:val="18"/>
          <w:szCs w:val="18"/>
          <w:color w:val="auto"/>
        </w:rPr>
        <w:t>In the event that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hereunder is terminated by the Company without Cause or by Executive for Good Reason within one year following or six months prior to a Change in Control, Executive shall receive the benefits described in Section 5(b), except that Executive shall receive the Change-in-Control Severance Payments in lieu of the Severance Payments.</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1" w:name="page12"/>
    <w:bookmarkEnd w:id="11"/>
    <w:p>
      <w:pPr>
        <w:ind w:left="448" w:hanging="448"/>
        <w:spacing w:after="0" w:line="286" w:lineRule="auto"/>
        <w:tabs>
          <w:tab w:leader="none" w:pos="4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Due to Death or Disability. </w:t>
      </w:r>
      <w:r>
        <w:rPr>
          <w:rFonts w:ascii="Times New Roman" w:cs="Times New Roman" w:eastAsia="Times New Roman" w:hAnsi="Times New Roman"/>
          <w:sz w:val="18"/>
          <w:szCs w:val="18"/>
          <w:color w:val="auto"/>
        </w:rPr>
        <w:t>In the event that Executive’s employment hereunder is terminated due to Executive’s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Executive shall receive the Accrued Benefits.</w:t>
      </w:r>
    </w:p>
    <w:p>
      <w:pPr>
        <w:spacing w:after="0" w:line="154" w:lineRule="exact"/>
        <w:rPr>
          <w:rFonts w:ascii="Times New Roman" w:cs="Times New Roman" w:eastAsia="Times New Roman" w:hAnsi="Times New Roman"/>
          <w:sz w:val="18"/>
          <w:szCs w:val="18"/>
          <w:b w:val="1"/>
          <w:bCs w:val="1"/>
          <w:color w:val="auto"/>
        </w:rPr>
      </w:pPr>
    </w:p>
    <w:p>
      <w:pPr>
        <w:jc w:val="both"/>
        <w:ind w:left="448" w:right="20" w:hanging="448"/>
        <w:spacing w:after="0" w:line="268" w:lineRule="auto"/>
        <w:tabs>
          <w:tab w:leader="none" w:pos="4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Pre-Start Date Termination. </w:t>
      </w:r>
      <w:r>
        <w:rPr>
          <w:rFonts w:ascii="Times New Roman" w:cs="Times New Roman" w:eastAsia="Times New Roman" w:hAnsi="Times New Roman"/>
          <w:sz w:val="18"/>
          <w:szCs w:val="18"/>
          <w:color w:val="auto"/>
        </w:rPr>
        <w:t>If this Agreement is terminated by either party prior to the Start Date, Executive shall not be entitled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payments, compensation, or benefits under this Agreement, other than rights that expressly survive termination, including confidentiality, restrictive covenants, and indemnification provisions.</w:t>
      </w:r>
    </w:p>
    <w:p>
      <w:pPr>
        <w:spacing w:after="0" w:line="170" w:lineRule="exact"/>
        <w:rPr>
          <w:rFonts w:ascii="Times New Roman" w:cs="Times New Roman" w:eastAsia="Times New Roman" w:hAnsi="Times New Roman"/>
          <w:sz w:val="18"/>
          <w:szCs w:val="18"/>
          <w:b w:val="1"/>
          <w:bCs w:val="1"/>
          <w:color w:val="auto"/>
        </w:rPr>
      </w:pPr>
    </w:p>
    <w:p>
      <w:pPr>
        <w:jc w:val="both"/>
        <w:ind w:left="448" w:hanging="448"/>
        <w:spacing w:after="0" w:line="262" w:lineRule="auto"/>
        <w:tabs>
          <w:tab w:leader="none" w:pos="4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Upon termination of Executive’s employment for any reason or under any circumstances,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return any and all of the property of the Company and any Affiliates (including, without limitation, all computers, keys, credit cards, identification tags, documents, data, confidential information, work product, and other proprietary materials), and other materials. Executive may retain Executive’s rolodex and similar address books provided that such items only include contact information.</w:t>
      </w:r>
    </w:p>
    <w:p>
      <w:pPr>
        <w:spacing w:after="0" w:line="176" w:lineRule="exact"/>
        <w:rPr>
          <w:rFonts w:ascii="Times New Roman" w:cs="Times New Roman" w:eastAsia="Times New Roman" w:hAnsi="Times New Roman"/>
          <w:sz w:val="18"/>
          <w:szCs w:val="18"/>
          <w:b w:val="1"/>
          <w:bCs w:val="1"/>
          <w:color w:val="auto"/>
        </w:rPr>
      </w:pPr>
    </w:p>
    <w:p>
      <w:pPr>
        <w:jc w:val="both"/>
        <w:ind w:left="448" w:hanging="448"/>
        <w:spacing w:after="0" w:line="253" w:lineRule="auto"/>
        <w:tabs>
          <w:tab w:leader="none" w:pos="4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Reasonable Cooperation. </w:t>
      </w:r>
      <w:r>
        <w:rPr>
          <w:rFonts w:ascii="Times New Roman" w:cs="Times New Roman" w:eastAsia="Times New Roman" w:hAnsi="Times New Roman"/>
          <w:sz w:val="18"/>
          <w:szCs w:val="18"/>
          <w:color w:val="auto"/>
        </w:rPr>
        <w:t>Executive agrees and covenants that, following the Term, Executive shall, to the extent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the Company, cooperate in good faith with the Company to assist the Company in the pursuit or defense of (except if Executive is adverse with respect to) any claim, administrative charge, or cause of action by or against the Company as to which Executive, by virtue of his employment with the Company or any other position that Executive holds that is affiliated with or was held at the request of the Company or its Affiliates, has relevant knowledge or information, including by acting as the Company’s representative in any such proceeding and, without the necessity of a subpoena, providing truthful testimony in any jurisdiction or forum. The Company shall reimburse Executive for his reasonable out-of-pocket expenses incurred in compliance with this Section 5(g), including any reasonable travel expenses and reasonable attorneys’ fees incurred by Executive and, in the event that Executive is required to spend substantial time on such matters, the Company shall compensate Executive at an hourly rate to be agreed to. The Company shall use reasonable business efforts to provide Executive with reasonable advance written notice of its need for Executive’s reasonable cooperation and shall attempt to coordinate with Executive the time and place at which Executive’s reasonable cooperation shall be provided with the goal of minimizing the impact of such reasonable cooperation on any other material pre-scheduled business commitment that Executive may have. Executive’s cooperation described in this Section 5(g) shall be subject to the maintenance of the indemnification and D&amp;O insurance policy provided under Sections 6(a) and (b) hereof.</w:t>
      </w:r>
    </w:p>
    <w:p>
      <w:pPr>
        <w:spacing w:after="0" w:line="187" w:lineRule="exact"/>
        <w:rPr>
          <w:rFonts w:ascii="Times New Roman" w:cs="Times New Roman" w:eastAsia="Times New Roman" w:hAnsi="Times New Roman"/>
          <w:sz w:val="18"/>
          <w:szCs w:val="18"/>
          <w:b w:val="1"/>
          <w:bCs w:val="1"/>
          <w:color w:val="auto"/>
        </w:rPr>
      </w:pPr>
    </w:p>
    <w:p>
      <w:pPr>
        <w:jc w:val="both"/>
        <w:ind w:left="448" w:hanging="448"/>
        <w:spacing w:after="0" w:line="262" w:lineRule="auto"/>
        <w:tabs>
          <w:tab w:leader="none" w:pos="4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Mutual Release. </w:t>
      </w:r>
      <w:r>
        <w:rPr>
          <w:rFonts w:ascii="Times New Roman" w:cs="Times New Roman" w:eastAsia="Times New Roman" w:hAnsi="Times New Roman"/>
          <w:sz w:val="18"/>
          <w:szCs w:val="18"/>
          <w:color w:val="auto"/>
        </w:rPr>
        <w:t>Payment of any Change-in-Control Severance Payments and Severance Payments shall be conditioned upon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non-revocation, and delivery of a general mutual release of claims by Executive, in a form reasonably satisfactory to the Company. In the event that Executive fails to timely execute and deliver such a release, the Company shall have no obligation to pay Change-in-Control Severance Payments or Severance Payments under this Agreement.</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2" w:name="page13"/>
    <w:bookmarkEnd w:id="12"/>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D&amp;O Insurance.</w:t>
      </w:r>
    </w:p>
    <w:p>
      <w:pPr>
        <w:spacing w:after="0" w:line="252" w:lineRule="exact"/>
        <w:rPr>
          <w:rFonts w:ascii="Times New Roman" w:cs="Times New Roman" w:eastAsia="Times New Roman" w:hAnsi="Times New Roman"/>
          <w:sz w:val="18"/>
          <w:szCs w:val="18"/>
          <w:b w:val="1"/>
          <w:bCs w:val="1"/>
          <w:color w:val="auto"/>
        </w:rPr>
      </w:pPr>
    </w:p>
    <w:p>
      <w:pPr>
        <w:jc w:val="both"/>
        <w:ind w:left="780" w:hanging="448"/>
        <w:spacing w:after="0" w:line="253" w:lineRule="auto"/>
        <w:tabs>
          <w:tab w:leader="none" w:pos="7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If Executive is made a party, is threatened to be made a party, or reasonably anticipates being made a party, to any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hereinafter defined) by reason of the fact that Executive is or was a director, officer, shareholder, employee, agent, trustee, consultant, or representative of the Company or any of its Affiliates or is or was serving at the request of the Company or any of its Affiliates, or in connection with his service hereunder as a director, officer, shareholder, employee, agent, trustee, consultant, or representative of another Person, or if any Claim (as hereinafter defined) is made, is threatened to be made, or is reasonably anticipated to be made, that arises out of or relates to Executive’s service in any of the foregoing capacities, then Executive shall promptly be indemnified and held harmless to the fullest extent permitted or authorized by any Company arrangement, or if greater, by applicable law, against any and all costs, expenses, liabilities, and losses (including, without limitation, advancement and payment of attorney’s and other professional fees and charges, judgments, interest, expenses of investigation, penalties, fines, ERISA excise taxes or penalties, and amounts paid or to be paid in settlement, with such legal fees advanced to the maximum extent permitted by law) incurred or suffered by Executive in connection therewith or in connection with seeking to enforce his rights under this Section 6(a), and such indemnification shall continue even if Executive has ceased to be a director, officer, shareholder, employee, agent, trustee, consultant, or representative of the Company or other Person and shall inure to the benefit of his heirs, executors, and administrators. This benefit shall be in addition to the provisions of any Indemnity Agreement entered into between Executive and Company.</w:t>
      </w:r>
    </w:p>
    <w:p>
      <w:pPr>
        <w:spacing w:after="0" w:line="187" w:lineRule="exact"/>
        <w:rPr>
          <w:rFonts w:ascii="Times New Roman" w:cs="Times New Roman" w:eastAsia="Times New Roman" w:hAnsi="Times New Roman"/>
          <w:sz w:val="18"/>
          <w:szCs w:val="18"/>
          <w:b w:val="1"/>
          <w:bCs w:val="1"/>
          <w:color w:val="auto"/>
        </w:rPr>
      </w:pPr>
    </w:p>
    <w:p>
      <w:pPr>
        <w:jc w:val="both"/>
        <w:ind w:left="780" w:hanging="448"/>
        <w:spacing w:after="0" w:line="268" w:lineRule="auto"/>
        <w:tabs>
          <w:tab w:leader="none" w:pos="7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D&amp;O Insurance. </w:t>
      </w:r>
      <w:r>
        <w:rPr>
          <w:rFonts w:ascii="Times New Roman" w:cs="Times New Roman" w:eastAsia="Times New Roman" w:hAnsi="Times New Roman"/>
          <w:sz w:val="18"/>
          <w:szCs w:val="18"/>
          <w:color w:val="auto"/>
        </w:rPr>
        <w:t>A directors’ and officers’ liability insurance policy (or policies) shall be kept in place, during the Term and thereafter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sixth anniversary of the Termination Date, providing coverage to Executive that is no less favorable to Executive in any respect than the coverage then being provided to any other current or former director or officer of the Company.</w:t>
      </w:r>
    </w:p>
    <w:p>
      <w:pPr>
        <w:spacing w:after="0" w:line="170" w:lineRule="exact"/>
        <w:rPr>
          <w:rFonts w:ascii="Times New Roman" w:cs="Times New Roman" w:eastAsia="Times New Roman" w:hAnsi="Times New Roman"/>
          <w:sz w:val="18"/>
          <w:szCs w:val="18"/>
          <w:b w:val="1"/>
          <w:bCs w:val="1"/>
          <w:color w:val="auto"/>
        </w:rPr>
      </w:pPr>
    </w:p>
    <w:p>
      <w:pPr>
        <w:jc w:val="both"/>
        <w:ind w:left="780" w:hanging="448"/>
        <w:spacing w:after="0" w:line="257" w:lineRule="auto"/>
        <w:tabs>
          <w:tab w:leader="none" w:pos="7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shall have the following meanings: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shall mean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that directly or indirectly controls, is controlled by, or is under common control with, such Person;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shall mean any claim, demand, request, investigation, dispute, controversy, threat, discovery request, or request for testimony or information;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partnership, limited liability company, joint venture, trust, estate, board, committee, agency, body, employee benefit plan, or other person or entity; and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threatened or actual action, suit, or proceeding, whether civil, criminal, administrative, investigative, appellate, formal, informal, or other.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 w:name="page14"/>
    <w:bookmarkEnd w:id="13"/>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Tax Matters.</w:t>
      </w:r>
    </w:p>
    <w:p>
      <w:pPr>
        <w:spacing w:after="0" w:line="252" w:lineRule="exact"/>
        <w:rPr>
          <w:rFonts w:ascii="Times New Roman" w:cs="Times New Roman" w:eastAsia="Times New Roman" w:hAnsi="Times New Roman"/>
          <w:sz w:val="18"/>
          <w:szCs w:val="18"/>
          <w:b w:val="1"/>
          <w:bCs w:val="1"/>
          <w:color w:val="auto"/>
        </w:rPr>
      </w:pPr>
    </w:p>
    <w:p>
      <w:pPr>
        <w:ind w:left="780" w:hanging="448"/>
        <w:spacing w:after="0" w:line="286" w:lineRule="auto"/>
        <w:tabs>
          <w:tab w:leader="none" w:pos="78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shall withhold all applicable federal, state, and local taxes, social security, and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and other amounts as may be required by law with respect to compensation payable to Executive pursuant to this Agreement.</w:t>
      </w:r>
    </w:p>
    <w:p>
      <w:pPr>
        <w:spacing w:after="0" w:line="154" w:lineRule="exact"/>
        <w:rPr>
          <w:rFonts w:ascii="Times New Roman" w:cs="Times New Roman" w:eastAsia="Times New Roman" w:hAnsi="Times New Roman"/>
          <w:sz w:val="18"/>
          <w:szCs w:val="18"/>
          <w:b w:val="1"/>
          <w:bCs w:val="1"/>
          <w:color w:val="auto"/>
        </w:rPr>
      </w:pPr>
    </w:p>
    <w:p>
      <w:pPr>
        <w:jc w:val="both"/>
        <w:ind w:left="780" w:hanging="448"/>
        <w:spacing w:after="0" w:line="253" w:lineRule="auto"/>
        <w:tabs>
          <w:tab w:leader="none" w:pos="78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Notwithstanding anything herein to the contrary, this Agreement is intended to be interpreted and applied so that the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benefits set forth herein shall either be exempt from, or in the alternative, comply with, the requirements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published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 termination of employment shall not be deemed to have occurred for purposes of any provision of this Agreement providing for the payment of any amounts or benefits upon or following a termination of employment that are considered “nonqualified deferred compensation” under Section 409A unless such termination is also a “separation from service” within the meaning of Section 409A and, for purposes of any such provision of this Agreement, references to a “termination,” “Termination Date” or like terms shall mean “separation from service.” Notwithstanding any provision of this Agreement to the contrary, if Executive is a “specified employee” within the meaning of Section 409A on the date of Executive’s “separation from service,” any payments or arrangements due upon a termination of Executive’s employment under any arrangement that constitutes a “nonqualified deferral of compensation” within the meaning of Section 409A and which do not otherwise qualify under the exemptions under Treas. Regs. Section 1.409A-1 (including without limitation, the short-term deferral exemption or the permitted payments under Treas. Regs. Section 1.409A-1(b)(9) (iii)(A)), shall be delayed and paid or provided on the earlier of (a) the date which is six months after Executive’s “separation from service” for any reason other than death, or (b) the date of Executive’s death. All tax gross-up payments provided under this Agreement or any other agreement with Executive shall be made or provided by the end of Executive’s taxable year next following Executive’s taxable year in which Executive remits the related taxes, in accordance with the requirements of Section 409A.</w:t>
      </w:r>
    </w:p>
    <w:p>
      <w:pPr>
        <w:spacing w:after="0" w:line="183" w:lineRule="exact"/>
        <w:rPr>
          <w:rFonts w:ascii="Times New Roman" w:cs="Times New Roman" w:eastAsia="Times New Roman" w:hAnsi="Times New Roman"/>
          <w:sz w:val="18"/>
          <w:szCs w:val="18"/>
          <w:b w:val="1"/>
          <w:bCs w:val="1"/>
          <w:color w:val="auto"/>
        </w:rPr>
      </w:pPr>
    </w:p>
    <w:p>
      <w:pPr>
        <w:jc w:val="both"/>
        <w:ind w:left="780" w:hanging="448"/>
        <w:spacing w:after="0" w:line="255" w:lineRule="auto"/>
        <w:tabs>
          <w:tab w:leader="none" w:pos="78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After any Termination Date, Executive shall have no duties or responsibilities that are inconsistent with having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from service” within the meaning of Section 409A as of the Termination Date and, notwithstanding anything in the Agreement to the contrary, distributions upon termination of employment of nonqualified deferred compensation may only be made upon a “separation from service” as determined under Section 409A and such date shall be the Termination Date for purposes of this Agreement. Each payment under this Agreement or otherwise shall be treated as a separate payment for purposes of Section 409A. In no event may Executive, directly or indirectly, designate the calendar year of any payment to be made under this Agreement which constitutes a “nonqualified deferral of compensation” within the meaning of Section 409A and to the extent an amount is payable within a time period, the time during which such amount is paid shall be in the discretion of the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4" w:name="page15"/>
    <w:bookmarkEnd w:id="14"/>
    <w:p>
      <w:pPr>
        <w:jc w:val="both"/>
        <w:ind w:left="780" w:hanging="448"/>
        <w:spacing w:after="0" w:line="259" w:lineRule="auto"/>
        <w:tabs>
          <w:tab w:leader="none" w:pos="7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Reimbursements. </w:t>
      </w:r>
      <w:r>
        <w:rPr>
          <w:rFonts w:ascii="Times New Roman" w:cs="Times New Roman" w:eastAsia="Times New Roman" w:hAnsi="Times New Roman"/>
          <w:sz w:val="18"/>
          <w:szCs w:val="18"/>
          <w:color w:val="auto"/>
        </w:rPr>
        <w:t>All reimbursements and in-kind benefits provided under this Agreement shall be made or provided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To the extent that any reimbursements are taxable to Executive, such reimbursements shall be paid to Executive on or before the last day of Executive’s taxable year following the taxable year in which the related expense was incurred. Reimbursements shall not be subject to liquidation or exchange for another benefit and the amount of such reimbursements that Executive receives in one taxable year shall not affect the amount of such reimbursements that Executive receives in any other taxable year.</w:t>
      </w:r>
    </w:p>
    <w:p>
      <w:pPr>
        <w:spacing w:after="0" w:line="179" w:lineRule="exact"/>
        <w:rPr>
          <w:rFonts w:ascii="Times New Roman" w:cs="Times New Roman" w:eastAsia="Times New Roman" w:hAnsi="Times New Roman"/>
          <w:sz w:val="18"/>
          <w:szCs w:val="18"/>
          <w:b w:val="1"/>
          <w:bCs w:val="1"/>
          <w:color w:val="auto"/>
        </w:rPr>
      </w:pPr>
    </w:p>
    <w:p>
      <w:pPr>
        <w:jc w:val="both"/>
        <w:ind w:left="780" w:hanging="448"/>
        <w:spacing w:after="0" w:line="254" w:lineRule="auto"/>
        <w:tabs>
          <w:tab w:leader="none" w:pos="7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Parachute Payments. </w:t>
      </w:r>
      <w:r>
        <w:rPr>
          <w:rFonts w:ascii="Times New Roman" w:cs="Times New Roman" w:eastAsia="Times New Roman" w:hAnsi="Times New Roman"/>
          <w:sz w:val="18"/>
          <w:szCs w:val="18"/>
          <w:color w:val="auto"/>
        </w:rPr>
        <w:t>If any payment, benefit, or distribution of any type to or for the benefit of Executive, whether paid or payable,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be provided, or distributed or distributable pursuant to the terms of this Agreement or otherwise (collectively, the “Parachute Payments”) would (as determined by the Company) subject Executive to the excise tax imposed under Section 4999 of the Code (the “Excise Tax”), the Parachute Payments shall be reduced so that the maximum amount of the Parachute Payments (after reduction) shall be one dollar less than the amount which would cause the Parachute Payments to be subject to the Excise Tax. The Company shall reduce or eliminate the Parachute Payments by first reducing or eliminating any cash Parachute Payments that do not constitute deferred compensation within the meaning of Section 409A, then by reducing or eliminating any other Parachute Payments that do not constitute deferred compensation within the meaning of Section 409A, then by reducing or eliminating all other Parachute Payments that do constitute deferred compensation within the meaning of Section 409A, beginning with those payments last to be paid, subject to and in accordance with all applicable requirements of Section 409A.</w:t>
      </w:r>
    </w:p>
    <w:p>
      <w:pPr>
        <w:spacing w:after="0" w:line="215" w:lineRule="exact"/>
        <w:rPr>
          <w:rFonts w:ascii="Times New Roman" w:cs="Times New Roman" w:eastAsia="Times New Roman" w:hAnsi="Times New Roman"/>
          <w:sz w:val="18"/>
          <w:szCs w:val="18"/>
          <w:b w:val="1"/>
          <w:bCs w:val="1"/>
          <w:color w:val="auto"/>
        </w:rPr>
      </w:pPr>
    </w:p>
    <w:p>
      <w:pPr>
        <w:jc w:val="both"/>
        <w:ind w:left="340" w:hanging="332"/>
        <w:spacing w:after="0" w:line="259" w:lineRule="auto"/>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Except as otherwise specifically provided herein, any notice, consent, demand, or other communication to be given under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shall be in writing and shall be deemed duly given when delivered personally, when transmitted by facsimile transmission, one day after being deposited with Federal Express or other nationally recognized overnight delivery service, or four days after being mailed by first class mail, charges or postage prepaid, properly addressed, if to the Company, at its principal office, and, if to Executive, at Executive’s address set forth following Executive’s signature below. Either party may change such address from time to time by notice to the other.</w:t>
      </w:r>
    </w:p>
    <w:p>
      <w:pPr>
        <w:spacing w:after="0" w:line="179" w:lineRule="exact"/>
        <w:rPr>
          <w:rFonts w:ascii="Times New Roman" w:cs="Times New Roman" w:eastAsia="Times New Roman" w:hAnsi="Times New Roman"/>
          <w:sz w:val="18"/>
          <w:szCs w:val="18"/>
          <w:b w:val="1"/>
          <w:bCs w:val="1"/>
          <w:color w:val="auto"/>
        </w:rPr>
      </w:pPr>
    </w:p>
    <w:p>
      <w:pPr>
        <w:jc w:val="both"/>
        <w:ind w:left="340" w:hanging="332"/>
        <w:spacing w:after="0" w:line="257" w:lineRule="auto"/>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Forum; Attorneys’ Fees and Costs. </w:t>
      </w:r>
      <w:r>
        <w:rPr>
          <w:rFonts w:ascii="Times New Roman" w:cs="Times New Roman" w:eastAsia="Times New Roman" w:hAnsi="Times New Roman"/>
          <w:sz w:val="18"/>
          <w:szCs w:val="18"/>
          <w:color w:val="auto"/>
        </w:rPr>
        <w:t>This Agreement shall be governed by and construed and interpreted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Utah, without giving effect to any choice of law rules or other conflicting provision or rule that would cause the laws of any jurisdiction to be applied. The parties each submit to the exclusive jurisdiction of the federal courts (or state courts if federal jurisdiction is lacking) located within Salt Lake County. In the event of a lawsuit or other legal proceeding arising out of or related to this Agreement in which Executive prevails (as determined by the deciding court), the Company shall reimburse Executive for Executive’s reasonable attorneys’ fees and costs incurred in connection with such lawsuit or legal proceeding, in addition to any other relief to which Executive may be entitled.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5" w:name="page16"/>
    <w:bookmarkEnd w:id="15"/>
    <w:p>
      <w:pPr>
        <w:jc w:val="both"/>
        <w:ind w:left="340" w:hanging="332"/>
        <w:spacing w:after="0" w:line="255"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Waivers. </w:t>
      </w:r>
      <w:r>
        <w:rPr>
          <w:rFonts w:ascii="Times New Roman" w:cs="Times New Roman" w:eastAsia="Times New Roman" w:hAnsi="Times New Roman"/>
          <w:sz w:val="18"/>
          <w:szCs w:val="18"/>
          <w:color w:val="auto"/>
        </w:rPr>
        <w:t>This Agreement may not be modified or amended or terminated except by an instrument in writing, signed by Executive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duly-authorized officer of the Company (other than Executive). By an instrument in writing similarly executed (and not by any other means), either party may waive compliance by the other party with any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provided herein or by law or in equity. To be effective, any written waiver must specifically refer to the condition(s) or provision(s) of this Agreement being waived.</w:t>
      </w:r>
    </w:p>
    <w:p>
      <w:pPr>
        <w:spacing w:after="0" w:line="184"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Inconsistencies. </w:t>
      </w:r>
      <w:r>
        <w:rPr>
          <w:rFonts w:ascii="Times New Roman" w:cs="Times New Roman" w:eastAsia="Times New Roman" w:hAnsi="Times New Roman"/>
          <w:sz w:val="18"/>
          <w:szCs w:val="18"/>
          <w:color w:val="auto"/>
        </w:rPr>
        <w:t>In the event of any inconsistency between any provision of this Agreement and any provision of any Company arrangement,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shall control, unless Executive and the Company otherwise agree in a writing that expressly refers to the provision of this Agreement that is being waived.</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Except as otherwise specifically provided herein, neither party shall assign or transfer this Agreement nor any rights hereunder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consent of the other party, and any attempted or purported assignment without such consent shall be void; provided, however, that any assignment or transfer pursuant to a merger or consolidation, or the sale or liquidation of all or substantially all of the business and assets of the Company shall be valid, so long as the assignee or transferee (a) is the successor to all or substantially all of the business and assets of the Company, and (b) assumes the liabilities, obligations and duties of the Company, as contained in this Agreement, either contractually or as a matter of law. Executive’s consent shall be required for any such transaction. This Agreement shall otherwise bind and inure to the benefit of the parties hereto and their respective successors, permitted assigns, assigns, heirs, legatees, devisees, executors, administrators, and legal representatives.</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Execution; Representations. </w:t>
      </w:r>
      <w:r>
        <w:rPr>
          <w:rFonts w:ascii="Times New Roman" w:cs="Times New Roman" w:eastAsia="Times New Roman" w:hAnsi="Times New Roman"/>
          <w:sz w:val="18"/>
          <w:szCs w:val="18"/>
          <w:color w:val="auto"/>
        </w:rPr>
        <w:t>Executive acknowledges that (a) Executive has consulted with or has had the opportunity to consult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counsel of their own choosing concerning this Agreement and has been advised to do so by the Company, and (b) Executive has read and understands this Agreement, is competent and of sound mind to execute this Agreement, is fully aware of the legal effect of this Agreement, and has entered into it freely based on Executive’s own judgment and without duress. Executive represents and warrants that Executive is able to successfully complete any background check and drug screening required by the Company pursuant to its employment policies and that Executive has not engaged in any conduct that would reasonably be expected to result in a failure of such background check or drug screening. The Company represents and warrants that it is fully authorized, by any person or body whose authorization is required, to enter into this Agreement and to perform its obligations hereunder.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6" w:name="page17"/>
    <w:bookmarkEnd w:id="16"/>
    <w:p>
      <w:pPr>
        <w:ind w:left="340" w:right="20" w:hanging="332"/>
        <w:spacing w:after="0" w:line="28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of the Sections and subsections contained in this Agreement are for convenience only and shall not be deemed to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provision of this Agreement.</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The language used in this Agreement shall be deemed to be the language chosen by the parties to express their mutual intent,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of strict construction shall be applied against any party.</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Beneficiaries/References. </w:t>
      </w:r>
      <w:r>
        <w:rPr>
          <w:rFonts w:ascii="Times New Roman" w:cs="Times New Roman" w:eastAsia="Times New Roman" w:hAnsi="Times New Roman"/>
          <w:sz w:val="18"/>
          <w:szCs w:val="18"/>
          <w:color w:val="auto"/>
        </w:rPr>
        <w:t>Executive shall be entitled, to the extent permitted under applicable law, to select and change a beneficiary or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any compensation or benefit hereunder following Executive’s death by giving written notice thereof. In the event of Executive’s death or a judicial determination of Executive’s incompetence, references in this Agreement to Executive shall be deemed, where appropriate, to refer to Executive’s beneficiary, estate, or other legal representative.</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Survivorship. </w:t>
      </w:r>
      <w:r>
        <w:rPr>
          <w:rFonts w:ascii="Times New Roman" w:cs="Times New Roman" w:eastAsia="Times New Roman" w:hAnsi="Times New Roman"/>
          <w:sz w:val="18"/>
          <w:szCs w:val="18"/>
          <w:color w:val="auto"/>
        </w:rPr>
        <w:t>Except as otherwise set forth in this Agreement, the respective rights and obligations of the parties shall survive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It is the desire and intent of the parties hereto that the provisions of this Agreement be enforced to the fullest extent permissible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public policies applied in each jurisdiction in which enforcement is sought. Accordingly, if any particular provision of this Agreement shall be adjudicated by a court of competent jurisdiction or arbitrator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Mitigation/No Offset. </w:t>
      </w:r>
      <w:r>
        <w:rPr>
          <w:rFonts w:ascii="Times New Roman" w:cs="Times New Roman" w:eastAsia="Times New Roman" w:hAnsi="Times New Roman"/>
          <w:sz w:val="18"/>
          <w:szCs w:val="18"/>
          <w:color w:val="auto"/>
        </w:rPr>
        <w:t>Executive shall be under no obligation to seek other employment or to otherwise mitigate the obligations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there shall be no offset against amounts or benefits due to Executive under this Agreement or otherwise on account of any claim (other than any preexisting debts then due in accordance with their terms) the Company may have against Executive or any remuneration or other benefit earned or received by Executive after such termination.</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shall be deemed an original, but all such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together constitute one and the same instrument. Signatures delivered by facsimile or PDF shall be effective for all purposes.</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contains the entire agreement of the parties and supersedes all prior or contemporaneous negotiations,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understandings, and agreements between the parties, regarding the subject matter of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Olson, President &amp; CEO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Ryan Elmore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 [***]</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8" w:name="page19"/>
    <w:bookmarkEnd w:id="1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EXECUTIVE’S DUTIES AND RESPONSIBILITIES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will have responsibility for R&amp;D, Sales, Marketing and Regulatory Affairs with duties including but not limited to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lowerLetter"/>
      <w:start w:val="1"/>
    </w:lvl>
  </w:abstractNum>
  <w:abstractNum w:abstractNumId="3">
    <w:nsid w:val="1190CDE7"/>
    <w:multiLevelType w:val="hybridMultilevel"/>
    <w:lvl w:ilvl="0">
      <w:lvlJc w:val="left"/>
      <w:lvlText w:val="%1."/>
      <w:numFmt w:val="decimal"/>
      <w:start w:val="2"/>
    </w:lvl>
    <w:lvl w:ilvl="1">
      <w:lvlJc w:val="left"/>
      <w:lvlText w:val="(%2)"/>
      <w:numFmt w:val="lowerLetter"/>
      <w:start w:val="1"/>
    </w:lvl>
  </w:abstractNum>
  <w:abstractNum w:abstractNumId="4">
    <w:nsid w:val="66EF438D"/>
    <w:multiLevelType w:val="hybridMultilevel"/>
    <w:lvl w:ilvl="0">
      <w:lvlJc w:val="left"/>
      <w:lvlText w:val="%1."/>
      <w:numFmt w:val="decimal"/>
      <w:start w:val="3"/>
    </w:lvl>
    <w:lvl w:ilvl="1">
      <w:lvlJc w:val="left"/>
      <w:lvlText w:val="(%2)"/>
      <w:numFmt w:val="lowerLetter"/>
      <w:start w:val="1"/>
    </w:lvl>
  </w:abstractNum>
  <w:abstractNum w:abstractNumId="5">
    <w:nsid w:val="140E0F7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
    <w:nsid w:val="335225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109CF92E"/>
    <w:multiLevelType w:val="hybridMultilevel"/>
    <w:lvl w:ilvl="0">
      <w:lvlJc w:val="left"/>
      <w:lvlText w:val="(%1)"/>
      <w:numFmt w:val="lowerRoman"/>
      <w:start w:val="2"/>
    </w:lvl>
    <w:lvl w:ilvl="1">
      <w:lvlJc w:val="left"/>
      <w:lvlText w:val="(%2)"/>
      <w:numFmt w:val="lowerRoman"/>
      <w:start w:val="2"/>
    </w:lvl>
  </w:abstractNum>
  <w:abstractNum w:abstractNumId="8">
    <w:nsid w:val="DED7263"/>
    <w:multiLevelType w:val="hybridMultilevel"/>
    <w:lvl w:ilvl="0">
      <w:lvlJc w:val="left"/>
      <w:lvlText w:val="(%1)"/>
      <w:numFmt w:val="lowerRoman"/>
      <w:start w:val="4"/>
    </w:lvl>
  </w:abstractNum>
  <w:abstractNum w:abstractNumId="9">
    <w:nsid w:val="7FDCC233"/>
    <w:multiLevelType w:val="hybridMultilevel"/>
    <w:lvl w:ilvl="0">
      <w:lvlJc w:val="left"/>
      <w:lvlText w:val="(%1)"/>
      <w:numFmt w:val="lowerRoman"/>
      <w:start w:val="6"/>
    </w:lvl>
  </w:abstractNum>
  <w:abstractNum w:abstractNumId="10">
    <w:nsid w:val="1BEFD79F"/>
    <w:multiLevelType w:val="hybridMultilevel"/>
    <w:lvl w:ilvl="0">
      <w:lvlJc w:val="left"/>
      <w:lvlText w:val="%1"/>
      <w:numFmt w:val="lowerLetter"/>
      <w:start w:val="1"/>
    </w:lvl>
    <w:lvl w:ilvl="1">
      <w:lvlJc w:val="left"/>
      <w:lvlText w:val="(%2)"/>
      <w:numFmt w:val="lowerRoman"/>
      <w:start w:val="9"/>
    </w:lvl>
  </w:abstractNum>
  <w:abstractNum w:abstractNumId="11">
    <w:nsid w:val="41A7C4C9"/>
    <w:multiLevelType w:val="hybridMultilevel"/>
    <w:lvl w:ilvl="0">
      <w:lvlJc w:val="left"/>
      <w:lvlText w:val="(%1)"/>
      <w:numFmt w:val="lowerLetter"/>
      <w:start w:val="2"/>
    </w:lvl>
    <w:lvl w:ilvl="1">
      <w:lvlJc w:val="left"/>
      <w:lvlText w:val="%2"/>
      <w:numFmt w:val="lowerRoman"/>
      <w:start w:val="1"/>
    </w:lvl>
  </w:abstractNum>
  <w:abstractNum w:abstractNumId="12">
    <w:nsid w:val="6B68079A"/>
    <w:multiLevelType w:val="hybridMultilevel"/>
    <w:lvl w:ilvl="0">
      <w:lvlJc w:val="left"/>
      <w:lvlText w:val="(%1)"/>
      <w:numFmt w:val="lowerLetter"/>
      <w:start w:val="4"/>
    </w:lvl>
  </w:abstractNum>
  <w:abstractNum w:abstractNumId="13">
    <w:nsid w:val="4E6AFB66"/>
    <w:multiLevelType w:val="hybridMultilevel"/>
    <w:lvl w:ilvl="0">
      <w:lvlJc w:val="left"/>
      <w:lvlText w:val="%1."/>
      <w:numFmt w:val="decimal"/>
      <w:start w:val="6"/>
    </w:lvl>
    <w:lvl w:ilvl="1">
      <w:lvlJc w:val="left"/>
      <w:lvlText w:val="(%2)"/>
      <w:numFmt w:val="lowerLetter"/>
      <w:start w:val="1"/>
    </w:lvl>
  </w:abstractNum>
  <w:abstractNum w:abstractNumId="14">
    <w:nsid w:val="25E45D32"/>
    <w:multiLevelType w:val="hybridMultilevel"/>
    <w:lvl w:ilvl="0">
      <w:lvlJc w:val="left"/>
      <w:lvlText w:val="%1."/>
      <w:numFmt w:val="decimal"/>
      <w:start w:val="7"/>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4"/>
    </w:lvl>
  </w:abstractNum>
  <w:abstractNum w:abstractNumId="16">
    <w:nsid w:val="431BD7B7"/>
    <w:multiLevelType w:val="hybridMultilevel"/>
    <w:lvl w:ilvl="0">
      <w:lvlJc w:val="left"/>
      <w:lvlText w:val="%1."/>
      <w:numFmt w:val="decimal"/>
      <w:start w:val="8"/>
    </w:lvl>
    <w:lvl w:ilvl="1">
      <w:lvlJc w:val="left"/>
      <w:lvlText w:val="%2"/>
      <w:numFmt w:val="lowerLetter"/>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2026-02-18T07:39:35Z</dcterms:created>
  <dcterms:modified xsi:type="dcterms:W3CDTF">2026-02-18T07:39:35Z</dcterms:modified>
</cp:coreProperties>
</file>