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SINTX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001-33624</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84-1375299</w:t>
            </w:r>
          </w:p>
        </w:tc>
      </w:tr>
      <w:tr>
        <w:trPr>
          <w:trHeight w:val="191"/>
        </w:trPr>
        <w:tc>
          <w:tcPr>
            <w:tcW w:w="2960" w:type="dxa"/>
            <w:vAlign w:val="bottom"/>
            <w:tcBorders>
              <w:top w:val="single" w:sz="8" w:color="auto"/>
            </w:tcBorders>
          </w:tcPr>
          <w:p>
            <w:pPr>
              <w:jc w:val="center"/>
              <w:ind w:left="57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tcPr>
          <w:p>
            <w:pPr>
              <w:jc w:val="center"/>
              <w:ind w:right="6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File Number)</w:t>
            </w: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1885 West 2100 South</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Salt Lake City, UT 84119</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(801) 839-3500</w:t>
            </w:r>
          </w:p>
        </w:tc>
        <w:tc>
          <w:tcPr>
            <w:tcW w:w="282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SINT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 2026, SINTX Technologies, Inc. (the “Company”) entered into a Securities Purchase Agreement (the “Purchase Agreement”) with certain accredited investors (the “Purchasers”) pursuant to which the Company agreed to sell in a private placement (the “Offering”) an aggregate of 1,882,845 units (the “Units”) at a purchase price of $2.39 per Unit for aggregate gross proceeds of approximately $4.5 million, before deducting fees and offering expenses.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Unit consists of: one share of the Company’s common stock, par value $0.01 per share (the “Common Stock”); one Class A Common Stock Purchase Warrant (the “Class A Warrant”); and one Class B Common Stock Purchase Warrant (the “Class B Warrant”).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covenants and closing conditions by the Company and the Purchasers. The Company also agreed to file a resale registration statement covering the shares of Common Stock sold in the Offering and the shares issuable upon exercise of the warrants pursuant to a Registration Rights Agreement described below.</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reference to the Purchase Agreement, a copy of which is filed as Exhibit 10.1 to this Current Report on Form 8-K and incorporated herein by reference.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6, 2026, the Company entered into a Confidential and Proprietary Information Agreement (the “Partner Capital Agreement”) with Partner Capital Group, LLC (“Partner Capital”), pursuant to which Partner Capital acted as non-exclusive marketing and consulting representative to represent the Company for an initial three (3) months term from the date of this Agreement (the “Initial Term”) in a potential bona fide capital raising transaction involving the offer and sale of equity, equity-linked or debt securities of the Company to financial investors for the primary purpose of raising capital. Pursuant to the Partner Capital Agreement, the Company agreed to pay Partner Capital a cash placement fee equal to 7% of the aggregate gross proceeds received by the Company from targeted, qualified potential investors identified and introduced in writing during the Initial Term by Partner Capital, together with any other investors that are directly introduced to the Company for a potential investment in the Company and to reimburse certain expenses incurred in connection with the Offering. The Company also agreed to provide customary indemnification and contribution rights to Partner Capital.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Partner Capital Agreement contains customary representations, warranties, covenants and closing conditions of the parties.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Partner Capital Agreement does not purport to be complete and is qualified in its entirety by reference to the Partner Capital Agreement, a copy of which is filed as Exhibit 10.3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closing of the Offering, the Company will issue Class A Warrants to purchase an aggregate of 1,882,845 shares of Common Stock. Each Class A Warrant becomes exercisable upon issuance, has an exercise price equal to $2.14 per share, subject to adjustment as provided therein, and expires on the fifth anniversary of its issuance.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Class A Warrants contain customary anti-dilution adjustments for stock splits, stock dividends and similar events. In addition, subject to compliance with applicable Nasdaq rules and stockholder approval requirements, the exercise price of the Class A Warrants is subject to adjustment if the Company issues Common Stock or Common Stock Equivalents in certain future equity financing transactions at a price below the then-current exercise price.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Class A Warrants also contain customary provisions relating to fundamental transactions, including mergers, consolidations, sales of substantially all assets and similar transactions. Holders may exercise the warrants on a cashless basis under certain circumstances. The Class A Warrants are also subject to beneficial ownership limitations of 4.99% or 9.99%, at the election of the holder.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Class A Warrants does not purport to be complete and is qualified in its entirety by reference to the form of Class A Common Stock Warrant filed as Exhibit 4.1 to this Current Report on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Class B Common Stock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closing of the Offering, the Company will issue Class B Warrants to purchase an aggregate of 1,882,845 shares of Common Stock. The Class B Warrants are immediately exercisable, have an exercise price of $2.14 per share, subject to adjustment as provided therein, and expire on the second anniversary of the initial exercise date.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Class B Warrants contain customary anti-dilution adjustments for stock splits, stock dividends and similar events. In addition, subject to compliance with applicable Nasdaq rules and stockholder approval requirements, the exercise price of the Class B Warrants is subject to a adjustment if the Company completes certain future equity financings at a price below the then-current exercise price. The Class B Warrants also contain customary provisions relating to fundamental transactions, including mergers, consolidations and sales of substantially all of the Company’s assets. Under certain circumstances, holders may exercise the Class B Warrants on a cashless basis. The Class B Warrants are also subject to beneficial ownership limitations of 4.99% or 9.99%, at the election of the holder.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upon the occurrence of specified revenue milestones, the Company may require holders to exercise all or a portion of their then-outstanding Class B Warrants. Specifically, if the Company reports quarterly revenue of at least $2.0 million in a fiscal quarter, as evidenced in a Quarterly Report on Form 10-Q, Annual Report on Form 10-K, or certain Current Reports on Form 8-K, the Company may deliver a notice requiring the holder to exercise all or a specified portion of the outstanding Class B Warrants within five business days. Any portion of the called warrants not timely exercised would automatically expire without consideration, subject to the warrant’s beneficial ownership limitations.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Class B Warrants does not purport to be complete and is qualified in its entirety by reference to the form of Class B Common Stock Warrant filed as Exhibit 4.2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Offering, the Company entered into a Registration Rights Agreement (the “Registration Rights Agreement”) with the Purchasers. Pursuant to the Registration Rights Agreement, the Company agreed to file with the Securities and Exchange Commission (the “SEC”) a registration statement covering the resale of the shares of Common Stock sold in the Offering and the shares issuable upon exercise of the warrants no later than 30 calendar days following the closing of the Offering and to use its best efforts to cause such registration statement to be declared effective within 60 calendar days after the closing (or 90 calendar days in the event of SEC review).</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agreed to use its best efforts to maintain the effectiveness of the registration statement until all registrable securities covered thereby have been sold or may be sold without restriction pursuant to Rule 144 under the Securities Act of 1933, as amended (the “Securities Act”).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reference to the Registration Rights Agreement, a copy of which is filed as Exhibit 10.2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above under Item 1.01 is incorporated herein by reference.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 2026, the Company entered into a private placement of 1,882,845 Units to accredited investors for aggregate gross proceeds of approximately $4.5 million, before deducting placement agent fees and offering expenses. Each Unit consisted of one share of Common Stock, one Class A Warrant and one Class B Warrant. The Class A Warrants and Class B Warrants each entitle the holder to purchase one share of Common Stock for each share of Common Stock purchased in the Offering, resulting in aggregate warrant coverage equal to 200% of the shares of Common Stock issued in the Offering.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securities issued in the Offering were offered and sold in reliance upon the exemption from registration provided by Section 4(a)(2) of the Securities Act and Rule 506(b) of Regulation D promulgated thereunder. The Purchasers represented that they were accredited investors, acquired the securities for investment purposes only and not with a view toward distribution, and appropriate restrictive legends were placed on the securities issued in the Offering. The Offering was conducted without any general solicitation or general advertising.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securities issued in the Offering have not been registered under the Securities Act or applicable state securities laws and may not be offered or sold in the United States absent registration or an applicable exemption from the registration requirements of the Securities Act and applicable state securities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 2026, the Company issued a press release announcing the Private Placement. A copy of the press release is attached hereto as Exhibit 99.1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(d) Exhibits.</w:t>
            </w:r>
          </w:p>
        </w:tc>
        <w:tc>
          <w:tcPr>
            <w:tcW w:w="1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r>
      <w:tr>
        <w:trPr>
          <w:trHeight w:val="459"/>
        </w:trPr>
        <w:tc>
          <w:tcPr>
            <w:tcW w:w="40" w:type="dxa"/>
            <w:vAlign w:val="bottom"/>
          </w:tcPr>
          <w:p>
            <w:pPr>
              <w:spacing w:after="0"/>
              <w:rPr>
                <w:sz w:val="24"/>
                <w:szCs w:val="2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80" w:type="dxa"/>
            <w:vAlign w:val="bottom"/>
          </w:tcPr>
          <w:p>
            <w:pPr>
              <w:spacing w:after="0"/>
              <w:rPr>
                <w:sz w:val="24"/>
                <w:szCs w:val="24"/>
                <w:color w:val="auto"/>
              </w:rPr>
            </w:pPr>
          </w:p>
        </w:tc>
        <w:tc>
          <w:tcPr>
            <w:tcW w:w="100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0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7"/>
                <w:szCs w:val="17"/>
                <w:color w:val="auto"/>
              </w:rPr>
            </w:pPr>
          </w:p>
        </w:tc>
        <w:tc>
          <w:tcPr>
            <w:tcW w:w="37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Class A Common Stock Purchase Warrant</w:t>
            </w:r>
          </w:p>
        </w:tc>
        <w:tc>
          <w:tcPr>
            <w:tcW w:w="6340" w:type="dxa"/>
            <w:vAlign w:val="bottom"/>
          </w:tcPr>
          <w:p>
            <w:pPr>
              <w:spacing w:after="0"/>
              <w:rPr>
                <w:sz w:val="17"/>
                <w:szCs w:val="17"/>
                <w:color w:val="auto"/>
              </w:rPr>
            </w:pPr>
          </w:p>
        </w:tc>
      </w:tr>
      <w:tr>
        <w:trPr>
          <w:trHeight w:val="223"/>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9"/>
                <w:szCs w:val="19"/>
                <w:color w:val="auto"/>
              </w:rPr>
            </w:pPr>
          </w:p>
        </w:tc>
        <w:tc>
          <w:tcPr>
            <w:tcW w:w="3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Form of Class B Common Stock Purchase Warrant</w:t>
            </w:r>
          </w:p>
        </w:tc>
        <w:tc>
          <w:tcPr>
            <w:tcW w:w="6360" w:type="dxa"/>
            <w:vAlign w:val="bottom"/>
            <w:gridSpan w:val="2"/>
          </w:tcPr>
          <w:p>
            <w:pPr>
              <w:spacing w:after="0"/>
              <w:rPr>
                <w:sz w:val="19"/>
                <w:szCs w:val="19"/>
                <w:color w:val="auto"/>
              </w:rPr>
            </w:pPr>
          </w:p>
        </w:tc>
      </w:tr>
      <w:tr>
        <w:trPr>
          <w:trHeight w:val="223"/>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9"/>
                <w:szCs w:val="19"/>
                <w:color w:val="auto"/>
              </w:rPr>
            </w:pPr>
          </w:p>
        </w:tc>
        <w:tc>
          <w:tcPr>
            <w:tcW w:w="37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Securities Purchase Agreement, dated June 2, 2026</w:t>
            </w:r>
          </w:p>
        </w:tc>
        <w:tc>
          <w:tcPr>
            <w:tcW w:w="6340" w:type="dxa"/>
            <w:vAlign w:val="bottom"/>
          </w:tcPr>
          <w:p>
            <w:pPr>
              <w:spacing w:after="0"/>
              <w:rPr>
                <w:sz w:val="19"/>
                <w:szCs w:val="19"/>
                <w:color w:val="auto"/>
              </w:rPr>
            </w:pPr>
          </w:p>
        </w:tc>
      </w:tr>
      <w:tr>
        <w:trPr>
          <w:trHeight w:val="223"/>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9"/>
                <w:szCs w:val="19"/>
                <w:color w:val="auto"/>
              </w:rPr>
            </w:pP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Registration Rights Agreement, dated June 2, 2026</w:t>
            </w:r>
          </w:p>
        </w:tc>
      </w:tr>
      <w:tr>
        <w:trPr>
          <w:trHeight w:val="223"/>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9"/>
                <w:szCs w:val="19"/>
                <w:color w:val="auto"/>
              </w:rPr>
            </w:pPr>
          </w:p>
        </w:tc>
        <w:tc>
          <w:tcPr>
            <w:tcW w:w="36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Partner Capital Agreement, dated April 6, 2026</w:t>
            </w:r>
          </w:p>
        </w:tc>
        <w:tc>
          <w:tcPr>
            <w:tcW w:w="6360" w:type="dxa"/>
            <w:vAlign w:val="bottom"/>
            <w:gridSpan w:val="2"/>
          </w:tcPr>
          <w:p>
            <w:pPr>
              <w:spacing w:after="0"/>
              <w:rPr>
                <w:sz w:val="19"/>
                <w:szCs w:val="19"/>
                <w:color w:val="auto"/>
              </w:rPr>
            </w:pPr>
          </w:p>
        </w:tc>
      </w:tr>
      <w:tr>
        <w:trPr>
          <w:trHeight w:val="223"/>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99.1</w:t>
            </w:r>
          </w:p>
        </w:tc>
        <w:tc>
          <w:tcPr>
            <w:tcW w:w="180" w:type="dxa"/>
            <w:vAlign w:val="bottom"/>
          </w:tcPr>
          <w:p>
            <w:pPr>
              <w:spacing w:after="0"/>
              <w:rPr>
                <w:sz w:val="19"/>
                <w:szCs w:val="19"/>
                <w:color w:val="auto"/>
              </w:rPr>
            </w:pPr>
          </w:p>
        </w:tc>
        <w:tc>
          <w:tcPr>
            <w:tcW w:w="34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June 3, 2026</w:t>
            </w:r>
          </w:p>
        </w:tc>
        <w:tc>
          <w:tcPr>
            <w:tcW w:w="6620" w:type="dxa"/>
            <w:vAlign w:val="bottom"/>
            <w:gridSpan w:val="3"/>
          </w:tcPr>
          <w:p>
            <w:pPr>
              <w:spacing w:after="0"/>
              <w:rPr>
                <w:sz w:val="19"/>
                <w:szCs w:val="19"/>
                <w:color w:val="auto"/>
              </w:rPr>
            </w:pPr>
          </w:p>
        </w:tc>
      </w:tr>
      <w:tr>
        <w:trPr>
          <w:trHeight w:val="20"/>
        </w:trPr>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7660" w:type="dxa"/>
            <w:vAlign w:val="bottom"/>
            <w:gridSpan w:val="4"/>
          </w:tcPr>
          <w:p>
            <w:pPr>
              <w:spacing w:after="0" w:line="20" w:lineRule="exact"/>
              <w:rPr>
                <w:sz w:val="1"/>
                <w:szCs w:val="1"/>
                <w:color w:val="auto"/>
              </w:rPr>
            </w:pPr>
          </w:p>
        </w:tc>
      </w:tr>
      <w:tr>
        <w:trPr>
          <w:trHeight w:val="264"/>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2"/>
                <w:szCs w:val="22"/>
                <w:color w:val="auto"/>
              </w:rPr>
            </w:pP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217"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SINTX Technologies, Inc.</w:t>
            </w: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Eric K. Olson</w:t>
            </w:r>
          </w:p>
        </w:tc>
      </w:tr>
      <w:tr>
        <w:trPr>
          <w:trHeight w:val="191"/>
        </w:trPr>
        <w:tc>
          <w:tcPr>
            <w:tcW w:w="580" w:type="dxa"/>
            <w:vAlign w:val="bottom"/>
          </w:tcPr>
          <w:p>
            <w:pPr>
              <w:spacing w:after="0"/>
              <w:rPr>
                <w:sz w:val="16"/>
                <w:szCs w:val="16"/>
                <w:color w:val="auto"/>
              </w:rPr>
            </w:pPr>
          </w:p>
        </w:tc>
        <w:tc>
          <w:tcPr>
            <w:tcW w:w="506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Eric K. Olson</w:t>
            </w:r>
          </w:p>
        </w:tc>
      </w:tr>
      <w:tr>
        <w:trPr>
          <w:trHeight w:val="234"/>
        </w:trPr>
        <w:tc>
          <w:tcPr>
            <w:tcW w:w="5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 w:name="page5"/>
    <w:bookmarkEnd w:id="4"/>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Exercise Date: _______, 2026</w:t>
      </w:r>
    </w:p>
    <w:p>
      <w:pPr>
        <w:spacing w:after="0" w:line="200" w:lineRule="exact"/>
        <w:rPr>
          <w:sz w:val="20"/>
          <w:szCs w:val="20"/>
          <w:color w:val="auto"/>
        </w:rPr>
      </w:pPr>
    </w:p>
    <w:p>
      <w:pPr>
        <w:sectPr>
          <w:pgSz w:w="11900" w:h="16838" w:orient="portrait"/>
          <w:cols w:equalWidth="0" w:num="2">
            <w:col w:w="4900" w:space="720"/>
            <w:col w:w="5620"/>
          </w:cols>
          <w:pgMar w:left="320" w:top="333" w:right="339" w:bottom="1440" w:gutter="0" w:footer="0" w:header="0"/>
          <w:type w:val="continuous"/>
        </w:sectPr>
      </w:pPr>
    </w:p>
    <w:p>
      <w:pPr>
        <w:spacing w:after="0" w:line="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CLASS A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w:t>
      </w:r>
    </w:p>
    <w:p>
      <w:pPr>
        <w:spacing w:after="0" w:line="199" w:lineRule="auto"/>
        <w:rPr>
          <w:sz w:val="20"/>
          <w:szCs w:val="20"/>
          <w:color w:val="auto"/>
        </w:rPr>
      </w:pPr>
      <w:r>
        <w:rPr>
          <w:rFonts w:ascii="Times New Roman" w:cs="Times New Roman" w:eastAsia="Times New Roman" w:hAnsi="Times New Roman"/>
          <w:sz w:val="17"/>
          <w:szCs w:val="17"/>
          <w:color w:val="auto"/>
        </w:rPr>
        <w:t>the date hereof (the “</w:t>
      </w:r>
      <w:r>
        <w:rPr>
          <w:rFonts w:ascii="Times New Roman" w:cs="Times New Roman" w:eastAsia="Times New Roman" w:hAnsi="Times New Roman"/>
          <w:sz w:val="17"/>
          <w:szCs w:val="17"/>
          <w:u w:val="single" w:color="auto"/>
          <w:color w:val="auto"/>
        </w:rPr>
        <w:t>Initial Exercise Date</w:t>
      </w:r>
      <w:r>
        <w:rPr>
          <w:rFonts w:ascii="Times New Roman" w:cs="Times New Roman" w:eastAsia="Times New Roman" w:hAnsi="Times New Roman"/>
          <w:sz w:val="17"/>
          <w:szCs w:val="17"/>
          <w:color w:val="auto"/>
        </w:rPr>
        <w:t>”) and on or prior to 5:00 p.m. (New York City time) on ________</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w:t>
      </w:r>
    </w:p>
    <w:p>
      <w:pPr>
        <w:spacing w:after="0"/>
        <w:rPr>
          <w:sz w:val="20"/>
          <w:szCs w:val="20"/>
          <w:color w:val="auto"/>
        </w:rPr>
      </w:pPr>
      <w:r>
        <w:rPr>
          <w:rFonts w:ascii="Times New Roman" w:cs="Times New Roman" w:eastAsia="Times New Roman" w:hAnsi="Times New Roman"/>
          <w:sz w:val="18"/>
          <w:szCs w:val="18"/>
          <w:color w:val="auto"/>
        </w:rPr>
        <w:t>subscribe for and purchase from SINTX Technologies,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(as subject to adjustment</w:t>
      </w:r>
    </w:p>
    <w:p>
      <w:pPr>
        <w:spacing w:after="0" w:line="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June 2, 2026, among the Company and the purchasers signatory thereto.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“Fundamental Transaction” means (i) any merger or consolidation of the Company with or into another entity, (ii) any sale of all or substantially all of the Company’s assets, (iii) any tender offer or exchange offer resulting in a change of control of the Company, or (iv) any reclassification, recapitalization or other transaction in which the Common Stock is converted into or exchanged for other securities, cash or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3" w:lineRule="exact"/>
        <w:rPr>
          <w:sz w:val="20"/>
          <w:szCs w:val="20"/>
          <w:color w:val="auto"/>
        </w:rPr>
      </w:pPr>
    </w:p>
    <w:p>
      <w:pPr>
        <w:ind w:left="5580" w:right="5460" w:hanging="5572"/>
        <w:spacing w:after="0"/>
        <w:tabs>
          <w:tab w:leader="none" w:pos="129" w:val="left"/>
        </w:tabs>
        <w:numPr>
          <w:ilvl w:val="0"/>
          <w:numId w:val="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Insert the date that is the five (5) year anniversary of the Initial Exercise Date..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93" w:lineRule="exact"/>
        <w:rPr>
          <w:rFonts w:ascii="Times New Roman" w:cs="Times New Roman" w:eastAsia="Times New Roman" w:hAnsi="Times New Roman"/>
          <w:sz w:val="18"/>
          <w:szCs w:val="18"/>
          <w:color w:val="auto"/>
        </w:rPr>
      </w:pPr>
    </w:p>
    <w:p>
      <w:pPr>
        <w:jc w:val="both"/>
        <w:ind w:firstLine="644"/>
        <w:spacing w:after="0" w:line="266" w:lineRule="auto"/>
        <w:tabs>
          <w:tab w:leader="none" w:pos="8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equal to the Per Share Purchase Price (as defined in the Purchase Agreement), subject to adjustment hereunder (the “Exercise Price”). In no event shall the Exercise Price be less than the Minimum Price (as defined in the Purchase Agreement) as of the date of issuance of this Warrant.</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any time after sixty (60) days after the Initial Exercise Date there is no effective registration statement registering, or the prospectus contained therein is not available for the resale of the Warrant Shares by the Holder, this Warrant may also be exercised on a cashless basis in which the Holder shall be entitled to receive a number of Warrant Shares determined as follows:</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“X” equals the number of Warrant Shares to be issued to the Holder;</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“Y” equals the total number of Warrant Shares with respect to which this Warrant is then being exercised;</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6" w:name="page7"/>
    <w:bookmarkEnd w:id="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as elected by the Holder: (i) the VWAP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at the option of the Holder, either (y) the VWAP on the Trading Day immediately preceding the date of the applicable Exercise Notice or (z)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 and</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 equals the Exercise Price then in effect for the applicable Warrant Shares at the time of such exercise.</w:t>
      </w:r>
    </w:p>
    <w:p>
      <w:pPr>
        <w:spacing w:after="0" w:line="225" w:lineRule="exact"/>
        <w:rPr>
          <w:sz w:val="20"/>
          <w:szCs w:val="20"/>
          <w:color w:val="auto"/>
        </w:rPr>
      </w:pPr>
    </w:p>
    <w:p>
      <w:pPr>
        <w:ind w:left="520" w:hanging="196"/>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40" w:firstLine="642"/>
        <w:spacing w:after="0" w:line="252" w:lineRule="auto"/>
        <w:tabs>
          <w:tab w:leader="none" w:pos="192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19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688" w:right="339" w:bottom="1440" w:gutter="0" w:footer="0" w:header="0"/>
        </w:sectPr>
      </w:pPr>
    </w:p>
    <w:bookmarkStart w:id="7" w:name="page8"/>
    <w:bookmarkEnd w:id="7"/>
    <w:p>
      <w:pPr>
        <w:jc w:val="both"/>
        <w:ind w:left="1000" w:firstLine="642"/>
        <w:spacing w:after="0" w:line="261" w:lineRule="auto"/>
        <w:tabs>
          <w:tab w:leader="none" w:pos="18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1000" w:firstLine="642"/>
        <w:spacing w:after="0" w:line="282" w:lineRule="auto"/>
        <w:tabs>
          <w:tab w:leader="none" w:pos="188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61" w:lineRule="exact"/>
        <w:rPr>
          <w:rFonts w:ascii="Times New Roman" w:cs="Times New Roman" w:eastAsia="Times New Roman" w:hAnsi="Times New Roman"/>
          <w:sz w:val="18"/>
          <w:szCs w:val="18"/>
          <w:color w:val="auto"/>
        </w:rPr>
      </w:pPr>
    </w:p>
    <w:p>
      <w:pPr>
        <w:jc w:val="both"/>
        <w:ind w:left="1000" w:firstLine="642"/>
        <w:spacing w:after="0" w:line="261" w:lineRule="auto"/>
        <w:tabs>
          <w:tab w:leader="none" w:pos="18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1000" w:firstLine="642"/>
        <w:spacing w:after="0" w:line="269" w:lineRule="auto"/>
        <w:tabs>
          <w:tab w:leader="none" w:pos="18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Charges, Taxes and Expenses</w:t>
      </w:r>
      <w:r>
        <w:rPr>
          <w:rFonts w:ascii="Times New Roman" w:cs="Times New Roman" w:eastAsia="Times New Roman" w:hAnsi="Times New Roman"/>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For the avoidance of doubt, the Company shall not be responsible for any tax which may be payable in respect of any transfers involved in the registration of any book entry or certificates for Warrant Shares or Warrants in a name other than that of the Holder.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1" w:lineRule="exact"/>
        <w:rPr>
          <w:rFonts w:ascii="Times New Roman" w:cs="Times New Roman" w:eastAsia="Times New Roman" w:hAnsi="Times New Roman"/>
          <w:sz w:val="17"/>
          <w:szCs w:val="17"/>
          <w:color w:val="auto"/>
        </w:rPr>
      </w:pPr>
    </w:p>
    <w:p>
      <w:pPr>
        <w:ind w:left="1000" w:right="20" w:firstLine="642"/>
        <w:spacing w:after="0" w:line="282" w:lineRule="auto"/>
        <w:tabs>
          <w:tab w:leader="none" w:pos="18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8" w:name="page9"/>
    <w:bookmarkEnd w:id="8"/>
    <w:p>
      <w:pPr>
        <w:jc w:val="both"/>
        <w:ind w:firstLine="644"/>
        <w:spacing w:after="0" w:line="251" w:lineRule="auto"/>
        <w:tabs>
          <w:tab w:leader="none" w:pos="8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 provided that if such record date is fixed and such dividend is not fully paid or such Distribution is not fully made on the date fixed therefor, the Exercise Price shall be recomputed accordingly as of the close of business on such record date and thereafter such Exercise Price shall be adjusted pursuant to this Section 3(a) to reflect the actual payment of such dividends or Distributions.</w:t>
      </w:r>
    </w:p>
    <w:p>
      <w:pPr>
        <w:spacing w:after="0" w:line="19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9" w:name="page10"/>
    <w:bookmarkEnd w:id="9"/>
    <w:p>
      <w:pPr>
        <w:jc w:val="both"/>
        <w:ind w:left="-460" w:firstLine="644"/>
        <w:spacing w:after="0" w:line="253"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37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in full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0" w:name="page11"/>
    <w:bookmarkEnd w:id="10"/>
    <w:p>
      <w:pPr>
        <w:jc w:val="both"/>
        <w:ind w:left="-460" w:firstLine="644"/>
        <w:spacing w:after="0" w:line="252" w:lineRule="auto"/>
        <w:tabs>
          <w:tab w:leader="none" w:pos="41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Financing Adjustment</w:t>
      </w:r>
      <w:r>
        <w:rPr>
          <w:rFonts w:ascii="Times New Roman" w:cs="Times New Roman" w:eastAsia="Times New Roman" w:hAnsi="Times New Roman"/>
          <w:sz w:val="18"/>
          <w:szCs w:val="18"/>
          <w:color w:val="auto"/>
        </w:rPr>
        <w:t>. If, at any time during the period commencing on the Initial Exercise Date and ending on the Termination Date, the Company issues or sells shares of Common Stock or Common Stock Equivalents in a bona fide equity financing transaction for cash at a price per share less than the then-current Exercise Price of this Warrant (a “Dilutive Issuance”), then, subject to the limitations set forth below, the Exercise Price of this Warrant shall be reduced to such lower price per share. Notwithstanding the foregoing, in no event shall the Exercise Price be reduced unless and until the Company shall have obtained stockholder approval of such adjustment to the extent required by the applicable rules and regulations of The Nasdaq Stock Market LLC, including Nasdaq Listing Rule 5635(d); if stockholder approval is required by Nasdaq rules for any adjustment below the Minimum Price the Company shall use its best efforts to obtain such approval and, if in the event such approval has not been obtained, then the Exercise Price shall not be adjusted below the Minimum Price unless and until such stockholder approval is obtained. This Section 3(d) shall not apply to any Exempt Issuance (as defined in the Securities Purchase Agreement), including, without limitation, any sales or issuances of Common Stock or Common Stock Equivalents pursuant to any “at-the-market” offering program of the Company in effect on the Initial Exercise Date or established thereafter in compliance with applicable Nasdaq rules. For purposes of this Section 3(d), “bona fide equity financing transaction for cash” means an issuance or sale by the Company of shares of Common Stock or Common Stock Equivalents in a capital raising transaction for cash consideration, the primary purpose of which is to raise equity capital for the Company and which does not constitute an Exempt Issuance.</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37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3(e) pursuant to written agreements in form and substance satisfactory to the Holder and reasonably acceptable to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equity securities are publicly traded on a nationally recognized securities exchange or quotation system.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3(a) and 3(c)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this Section 3(e) and the paragraph below regarding Black Scholes Value, the Holder may elect, at its sole option, by delivery of written notice to the Company to waive this Section 3(e)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“Corporate Event”),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3(a) and 3(c)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9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1" w:name="page12"/>
    <w:bookmarkEnd w:id="11"/>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xml:space="preserve"> Notwithstanding the foregoing and the provisions of Section 3(e) above, at the request of the Holder delivered at any time commencing on the earliest to occur of (x) the public disclosure of any Fundamental Transaction, (y) the consummation of any Fundamental Transaction and (z) the Holder first becoming aware of any Fundamental Transaction through the date that is ninety (90) days after the public disclosure of the consummation of such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of the remaining unexercised portion of this Warrant. Payment of such amounts shall be made by the Company (or at the Company’s direction) to the Holder on or prior to the later of (x) the second (2nd) Trading Day after the date of such request and (y) the date of consummation of such Fundamental Transaction; provided, however, that if the Fundamental Transaction is not within the Company’s control, including in the event that such Fundamental Transaction is not approved by the board of directors of the Company,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such Successor Entity may be the Company following such Fundamental Transaction) in such Fundamental Transaction.</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L.P.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the 30 day volatility, (2) the 100 day volatility, each of clauses (1)-(2) as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contemplated Fundamental Transaction and the Termination Date and (E) a zero cost of borrow.</w:t>
      </w:r>
    </w:p>
    <w:p>
      <w:pPr>
        <w:spacing w:after="0" w:line="192" w:lineRule="exact"/>
        <w:rPr>
          <w:sz w:val="20"/>
          <w:szCs w:val="20"/>
          <w:color w:val="auto"/>
        </w:rPr>
      </w:pPr>
    </w:p>
    <w:p>
      <w:pPr>
        <w:jc w:val="both"/>
        <w:ind w:firstLine="644"/>
        <w:spacing w:after="0" w:line="266" w:lineRule="auto"/>
        <w:tabs>
          <w:tab w:leader="none" w:pos="81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460" w:firstLine="642"/>
        <w:spacing w:after="0" w:line="261" w:lineRule="auto"/>
        <w:tabs>
          <w:tab w:leader="none" w:pos="224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2" w:name="page13"/>
    <w:bookmarkEnd w:id="12"/>
    <w:p>
      <w:pPr>
        <w:jc w:val="both"/>
        <w:ind w:left="1460" w:firstLine="642"/>
        <w:spacing w:after="0" w:line="251" w:lineRule="auto"/>
        <w:tabs>
          <w:tab w:leader="none" w:pos="23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(other than a transaction solely to change the domicile of the Company),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to the Holder at its last email address as it shall appear upon the Warrant Register (as defined below)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3" w:name="page14"/>
    <w:bookmarkEnd w:id="13"/>
    <w:p>
      <w:pPr>
        <w:jc w:val="both"/>
        <w:ind w:left="-460" w:firstLine="644"/>
        <w:spacing w:after="0" w:line="256" w:lineRule="auto"/>
        <w:tabs>
          <w:tab w:leader="none" w:pos="3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8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3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(solely with respect to fractional share payments) , in no event shall the Company be required to net cash settle an exercise of this Warrant.</w:t>
      </w:r>
    </w:p>
    <w:p>
      <w:pPr>
        <w:spacing w:after="0" w:line="183" w:lineRule="exact"/>
        <w:rPr>
          <w:rFonts w:ascii="Times New Roman" w:cs="Times New Roman" w:eastAsia="Times New Roman" w:hAnsi="Times New Roman"/>
          <w:sz w:val="18"/>
          <w:szCs w:val="18"/>
          <w:color w:val="auto"/>
        </w:rPr>
      </w:pPr>
    </w:p>
    <w:p>
      <w:pPr>
        <w:jc w:val="both"/>
        <w:ind w:firstLine="644"/>
        <w:spacing w:after="0" w:line="258" w:lineRule="auto"/>
        <w:tabs>
          <w:tab w:leader="none" w:pos="8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right="20" w:firstLine="644"/>
        <w:spacing w:after="0" w:line="282" w:lineRule="auto"/>
        <w:tabs>
          <w:tab w:leader="none" w:pos="8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5" w:name="page16"/>
    <w:bookmarkEnd w:id="15"/>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firstLine="644"/>
        <w:spacing w:after="0" w:line="282" w:lineRule="auto"/>
        <w:tabs>
          <w:tab w:leader="none" w:pos="37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3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3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all rights hereunder terminate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8" w:lineRule="exact"/>
        <w:rPr>
          <w:rFonts w:ascii="Times New Roman" w:cs="Times New Roman" w:eastAsia="Times New Roman" w:hAnsi="Times New Roman"/>
          <w:sz w:val="18"/>
          <w:szCs w:val="18"/>
          <w:color w:val="auto"/>
        </w:rPr>
      </w:pPr>
    </w:p>
    <w:p>
      <w:pPr>
        <w:ind w:left="-460" w:firstLine="644"/>
        <w:spacing w:after="0" w:line="282" w:lineRule="auto"/>
        <w:tabs>
          <w:tab w:leader="none" w:pos="3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6" w:name="page17"/>
    <w:bookmarkEnd w:id="16"/>
    <w:p>
      <w:pPr>
        <w:jc w:val="both"/>
        <w:ind w:firstLine="644"/>
        <w:spacing w:after="0" w:line="261" w:lineRule="auto"/>
        <w:tabs>
          <w:tab w:leader="none" w:pos="8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and the restrictions on transfer described herein or in the Purchase Agreement,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800" w:hanging="156"/>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w:t>
      </w:r>
    </w:p>
    <w:p>
      <w:pPr>
        <w:spacing w:after="0" w:line="206" w:lineRule="exact"/>
        <w:rPr>
          <w:rFonts w:ascii="Times New Roman" w:cs="Times New Roman" w:eastAsia="Times New Roman" w:hAnsi="Times New Roman"/>
          <w:sz w:val="18"/>
          <w:szCs w:val="18"/>
          <w:color w:val="auto"/>
        </w:rPr>
      </w:pPr>
    </w:p>
    <w:p>
      <w:pPr>
        <w:jc w:val="both"/>
        <w:ind w:firstLine="644"/>
        <w:spacing w:after="0" w:line="261" w:lineRule="auto"/>
        <w:tabs>
          <w:tab w:leader="none" w:pos="8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rule or regulation (including those of Nasdaq), but if any provision of this Warrant shall be prohibited by or invalid under applicable law, rule or regulation, such provision shall be ineffective to the extent of such prohibition or invalidity, without invalidating the remainder of such provisions or the remaining provisions of this Warrant.</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7" w:name="page18"/>
    <w:bookmarkEnd w:id="17"/>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Eric Olson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CEO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SINTX TECHNOLOGIES, INC.</w:t>
      </w:r>
    </w:p>
    <w:p>
      <w:pPr>
        <w:spacing w:after="0" w:line="225" w:lineRule="exact"/>
        <w:rPr>
          <w:sz w:val="20"/>
          <w:szCs w:val="20"/>
          <w:color w:val="auto"/>
        </w:rPr>
      </w:pPr>
    </w:p>
    <w:p>
      <w:pPr>
        <w:ind w:firstLine="1304"/>
        <w:spacing w:after="0" w:line="282" w:lineRule="auto"/>
        <w:tabs>
          <w:tab w:leader="none" w:pos="155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Warrant Shares as is necessary, pursuant to the cashless exercise provisions of Section 2(c), to exercise this Warrant with respect to the maximum number of Warrant Shares purchasable pursuant to the cashless exercise procedure set forth in subsection 2(c).</w:t>
      </w:r>
    </w:p>
    <w:p>
      <w:pPr>
        <w:spacing w:after="0" w:line="175" w:lineRule="exact"/>
        <w:rPr>
          <w:sz w:val="20"/>
          <w:szCs w:val="20"/>
          <w:color w:val="auto"/>
        </w:rPr>
      </w:pPr>
    </w:p>
    <w:p>
      <w:pPr>
        <w:ind w:left="1560" w:hanging="256"/>
        <w:spacing w:after="0"/>
        <w:tabs>
          <w:tab w:leader="none" w:pos="1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ind w:left="4760"/>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340" w:right="679"/>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20" w:name="page21"/>
    <w:bookmarkEnd w:id="20"/>
    <w:p>
      <w:pPr>
        <w:ind w:left="1040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B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Exercise Date: _______, 2026</w:t>
      </w:r>
    </w:p>
    <w:p>
      <w:pPr>
        <w:spacing w:after="0" w:line="200" w:lineRule="exact"/>
        <w:rPr>
          <w:sz w:val="20"/>
          <w:szCs w:val="20"/>
          <w:color w:val="auto"/>
        </w:rPr>
      </w:pPr>
    </w:p>
    <w:p>
      <w:pPr>
        <w:sectPr>
          <w:pgSz w:w="11900" w:h="16838" w:orient="portrait"/>
          <w:cols w:equalWidth="0" w:num="2">
            <w:col w:w="4900" w:space="720"/>
            <w:col w:w="5620"/>
          </w:cols>
          <w:pgMar w:left="320" w:top="333" w:right="339" w:bottom="1440" w:gutter="0" w:footer="0" w:header="0"/>
          <w:type w:val="continuous"/>
        </w:sectPr>
      </w:pP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CLASS B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w:t>
      </w:r>
    </w:p>
    <w:p>
      <w:pPr>
        <w:spacing w:after="0" w:line="199" w:lineRule="auto"/>
        <w:rPr>
          <w:sz w:val="20"/>
          <w:szCs w:val="20"/>
          <w:color w:val="auto"/>
        </w:rPr>
      </w:pPr>
      <w:r>
        <w:rPr>
          <w:rFonts w:ascii="Times New Roman" w:cs="Times New Roman" w:eastAsia="Times New Roman" w:hAnsi="Times New Roman"/>
          <w:sz w:val="17"/>
          <w:szCs w:val="17"/>
          <w:color w:val="auto"/>
        </w:rPr>
        <w:t>the date hereof (the “</w:t>
      </w:r>
      <w:r>
        <w:rPr>
          <w:rFonts w:ascii="Times New Roman" w:cs="Times New Roman" w:eastAsia="Times New Roman" w:hAnsi="Times New Roman"/>
          <w:sz w:val="17"/>
          <w:szCs w:val="17"/>
          <w:u w:val="single" w:color="auto"/>
          <w:color w:val="auto"/>
        </w:rPr>
        <w:t>Initial Exercise Date</w:t>
      </w:r>
      <w:r>
        <w:rPr>
          <w:rFonts w:ascii="Times New Roman" w:cs="Times New Roman" w:eastAsia="Times New Roman" w:hAnsi="Times New Roman"/>
          <w:sz w:val="17"/>
          <w:szCs w:val="17"/>
          <w:color w:val="auto"/>
        </w:rPr>
        <w:t>”) and on or prior to 5:00 p.m. (New York City time) on ________</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w:t>
      </w:r>
    </w:p>
    <w:p>
      <w:pPr>
        <w:spacing w:after="0"/>
        <w:rPr>
          <w:sz w:val="20"/>
          <w:szCs w:val="20"/>
          <w:color w:val="auto"/>
        </w:rPr>
      </w:pPr>
      <w:r>
        <w:rPr>
          <w:rFonts w:ascii="Times New Roman" w:cs="Times New Roman" w:eastAsia="Times New Roman" w:hAnsi="Times New Roman"/>
          <w:sz w:val="18"/>
          <w:szCs w:val="18"/>
          <w:color w:val="auto"/>
        </w:rPr>
        <w:t>subscribe for and purchase from SINTX Technologies,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(as subject to adjustment</w:t>
      </w:r>
    </w:p>
    <w:p>
      <w:pPr>
        <w:spacing w:after="0" w:line="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June 2, 2026, among the Company and the purchasers signatory thereto.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“Fundamental Transaction” means (i) any merger or consolidation of the Company with or into another entity, (ii) any sale of all or substantially all of the Company’s assets, (iii) any tender offer or exchange offer resulting in a change of control of the Company, or (iv) any reclassification, recapitalization or other transaction in which the Common Stock is converted into or exchanged for other securities, cash or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Insert the date that is the two (2) year anniversary of the Initial Exercise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93" w:lineRule="exact"/>
        <w:rPr>
          <w:rFonts w:ascii="Times New Roman" w:cs="Times New Roman" w:eastAsia="Times New Roman" w:hAnsi="Times New Roman"/>
          <w:sz w:val="18"/>
          <w:szCs w:val="18"/>
          <w:color w:val="auto"/>
        </w:rPr>
      </w:pPr>
    </w:p>
    <w:p>
      <w:pPr>
        <w:jc w:val="both"/>
        <w:ind w:firstLine="644"/>
        <w:spacing w:after="0" w:line="266" w:lineRule="auto"/>
        <w:tabs>
          <w:tab w:leader="none" w:pos="8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equal to the Per Share Purchase Price (as defined in the Purchase Agreement), subject to adjustment hereunder (the “Exercise Price”). In no event shall the Exercise Price be less than the Minimum Price (as defined in the Purchase Agreement) as of the date of issuance of this Warrant.</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any time after sixty (60) days after the Initial Exercise Date there is no effective registration statement registering, or the prospectus contained therein is not available for the resale of the Warrant Shares by the Holder, this Warrant may also be exercised on a cashless basis in which the Holder shall be entitled to receive a number of Warrant Shares determined as follows:</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“X” equals the number of Warrant Shares to be issued to the Holder;</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“Y” equals the total number of Warrant Shares with respect to which this Warrant is then being exercised;</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2" w:name="page23"/>
    <w:bookmarkEnd w:id="2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as elected by the Holder: (i) the VWAP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at the option of the Holder, either (y) the VWAP on the Trading Day immediately preceding the date of the applicable Exercise Notice or (z)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 and</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 equals the Exercise Price then in effect for the applicable Warrant Shares at the time of such exercise.</w:t>
      </w:r>
    </w:p>
    <w:p>
      <w:pPr>
        <w:spacing w:after="0" w:line="225" w:lineRule="exact"/>
        <w:rPr>
          <w:sz w:val="20"/>
          <w:szCs w:val="20"/>
          <w:color w:val="auto"/>
        </w:rPr>
      </w:pPr>
    </w:p>
    <w:p>
      <w:pPr>
        <w:ind w:left="520" w:hanging="196"/>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40" w:firstLine="642"/>
        <w:spacing w:after="0" w:line="252" w:lineRule="auto"/>
        <w:tabs>
          <w:tab w:leader="none" w:pos="192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19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688" w:right="339" w:bottom="1440" w:gutter="0" w:footer="0" w:header="0"/>
        </w:sectPr>
      </w:pPr>
    </w:p>
    <w:bookmarkStart w:id="23" w:name="page24"/>
    <w:bookmarkEnd w:id="23"/>
    <w:p>
      <w:pPr>
        <w:jc w:val="both"/>
        <w:ind w:left="1000" w:firstLine="561"/>
        <w:spacing w:after="0" w:line="261" w:lineRule="auto"/>
        <w:tabs>
          <w:tab w:leader="none" w:pos="175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1000" w:firstLine="642"/>
        <w:spacing w:after="0" w:line="282" w:lineRule="auto"/>
        <w:tabs>
          <w:tab w:leader="none" w:pos="188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61" w:lineRule="exact"/>
        <w:rPr>
          <w:rFonts w:ascii="Times New Roman" w:cs="Times New Roman" w:eastAsia="Times New Roman" w:hAnsi="Times New Roman"/>
          <w:sz w:val="18"/>
          <w:szCs w:val="18"/>
          <w:color w:val="auto"/>
        </w:rPr>
      </w:pPr>
    </w:p>
    <w:p>
      <w:pPr>
        <w:jc w:val="both"/>
        <w:ind w:left="1000" w:firstLine="642"/>
        <w:spacing w:after="0" w:line="261" w:lineRule="auto"/>
        <w:tabs>
          <w:tab w:leader="none" w:pos="186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1000" w:firstLine="642"/>
        <w:spacing w:after="0" w:line="269" w:lineRule="auto"/>
        <w:tabs>
          <w:tab w:leader="none" w:pos="1816"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Charges, Taxes and Expenses</w:t>
      </w:r>
      <w:r>
        <w:rPr>
          <w:rFonts w:ascii="Times New Roman" w:cs="Times New Roman" w:eastAsia="Times New Roman" w:hAnsi="Times New Roman"/>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For the avoidance of doubt, the Company shall not be responsible for any tax which may be payable in respect of any transfers involved in the registration of any book entry or certificates for Warrant Shares or Warrants in a name other than that of the Holder.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1" w:lineRule="exact"/>
        <w:rPr>
          <w:rFonts w:ascii="Times New Roman" w:cs="Times New Roman" w:eastAsia="Times New Roman" w:hAnsi="Times New Roman"/>
          <w:sz w:val="17"/>
          <w:szCs w:val="17"/>
          <w:color w:val="auto"/>
        </w:rPr>
      </w:pPr>
    </w:p>
    <w:p>
      <w:pPr>
        <w:ind w:left="1000" w:right="20" w:firstLine="642"/>
        <w:spacing w:after="0" w:line="282" w:lineRule="auto"/>
        <w:tabs>
          <w:tab w:leader="none" w:pos="187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4" w:name="page25"/>
    <w:bookmarkEnd w:id="24"/>
    <w:p>
      <w:pPr>
        <w:jc w:val="both"/>
        <w:ind w:firstLine="644"/>
        <w:spacing w:after="0" w:line="251" w:lineRule="auto"/>
        <w:tabs>
          <w:tab w:leader="none" w:pos="8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 provided that if such record date is fixed and such dividend is not fully paid or such Distribution is not fully made on the date fixed therefor, the Exercise Price shall be recomputed accordingly as of the close of business on such record date and thereafter such Exercise Price shall be adjusted pursuant to this Section 3(a) to reflect the actual payment of such dividends or Distributions.</w:t>
      </w:r>
    </w:p>
    <w:p>
      <w:pPr>
        <w:spacing w:after="0" w:line="197" w:lineRule="exact"/>
        <w:rPr>
          <w:rFonts w:ascii="Times New Roman" w:cs="Times New Roman" w:eastAsia="Times New Roman" w:hAnsi="Times New Roman"/>
          <w:sz w:val="18"/>
          <w:szCs w:val="18"/>
          <w:color w:val="auto"/>
        </w:rPr>
      </w:pPr>
    </w:p>
    <w:p>
      <w:pPr>
        <w:jc w:val="both"/>
        <w:ind w:firstLine="644"/>
        <w:spacing w:after="0" w:line="253" w:lineRule="auto"/>
        <w:tabs>
          <w:tab w:leader="none" w:pos="8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in full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6" w:name="page27"/>
    <w:bookmarkEnd w:id="26"/>
    <w:p>
      <w:pPr>
        <w:jc w:val="both"/>
        <w:ind w:left="-460" w:firstLine="644"/>
        <w:spacing w:after="0" w:line="252" w:lineRule="auto"/>
        <w:tabs>
          <w:tab w:leader="none" w:pos="41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Financing Adjustment</w:t>
      </w:r>
      <w:r>
        <w:rPr>
          <w:rFonts w:ascii="Times New Roman" w:cs="Times New Roman" w:eastAsia="Times New Roman" w:hAnsi="Times New Roman"/>
          <w:sz w:val="18"/>
          <w:szCs w:val="18"/>
          <w:color w:val="auto"/>
        </w:rPr>
        <w:t>. If, at any time during the period commencing on the Initial Exercise Date and ending on the Termination Date, the Company issues or sells shares of Common Stock or Common Stock Equivalents in a bona fide equity financing transaction for cash at a price per share less than the then-current Exercise Price of this Warrant (a “Dilutive Issuance”), then, subject to the limitations set forth below, the Exercise Price of this Warrant shall be reduced, on a one-time basis only, to such lower price per share. Notwithstanding the foregoing, in no event shall the Exercise Price be reduced unless and until the Company shall have obtained stockholder approval of such adjustment to the extent required by the applicable rules and regulations of The Nasdaq Stock Market LLC, including Nasdaq Listing Rule 5635(d); if stockholder approval is required by Nasdaq rules for any adjustment below the Minimum Price the Company shall use its best efforts to obtain such approval and, if in the event such approval has not been obtained, then the Exercise Price shall not be adjusted below the Minimum Price unless and until such stockholder approval is obtained. This Section 3(d) shall not apply to any Exempt Issuance (as defined in the Securities Purchase Agreement), including, without limitation, any sales or issuances of Common Stock or Common Stock Equivalents pursuant to any “at-the-market” offering program of the Company in effect on the Initial Exercise Date or established thereafter in compliance with applicable Nasdaq rules. For purposes of this Section 3(d), “bona fide equity financing transaction for cash” means an issuance or sale by the Company of shares of Common Stock or Common Stock Equivalents in a capital raising transaction for cash consideration, the primary purpose of which is to raise equity capital for the Company and which does not constitute an Exempt Issuance.</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37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3(e) pursuant to written agreements in form and substance satisfactory to the Holder and reasonably acceptable to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(ii) the Successor Entity (including its Parent Entity) is a publicly traded corporation whose equity securities are publicly traded on a nationally recognized securities exchange or quotation system.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3(a) and 3(c)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this Section 3(e) and the paragraph below regarding Black Scholes Value, the Holder may elect, at its sole option, by delivery of written notice to the Company to waive this Section 3(e)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“Corporate Event”),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3(a) and 3(c)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9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7" w:name="page28"/>
    <w:bookmarkEnd w:id="27"/>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xml:space="preserve"> Notwithstanding the foregoing and the provisions of Section 3(e) above, at the request of the Holder delivered at any time commencing on the earliest to occur of (x) the public disclosure of any Fundamental Transaction, (y) the consummation of any Fundamental Transaction and (z) the Holder first becoming aware of any Fundamental Transaction through the date that is ninety (90) days after the public disclosure of the consummation of such Fundamental Transaction by the Company pursuant to a Current Report on Form 8-K filed with the SEC, the Company or the Successor Entity (as the case may be) shall purchase this Warrant from the Holder on the date of such request by paying to the Holder cash in an amount equal to the Black Scholes Value of the remaining unexercised portion of this Warrant. Payment of such amounts shall be made by the Company (or at the Company’s direction) to the Holder on or prior to the later of (x) the second (2nd) Trading Day after the date of such request and (y) the date of consummation of such Fundamental Transaction; provided, however, that if the Fundamental Transaction is not within the Company’s control, including in the event that such Fundamental Transaction is not approved by the board of directors of the Company,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such Successor Entity may be the Company following such Fundamental Transaction) in such Fundamental Transaction.</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L.P.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the 30 day volatility, (2) the 100 day volatility, each of clauses (1)-(2) as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contemplated Fundamental Transaction and the Termination Date and (E) a zero cost of borrow.</w:t>
      </w:r>
    </w:p>
    <w:p>
      <w:pPr>
        <w:spacing w:after="0" w:line="192" w:lineRule="exact"/>
        <w:rPr>
          <w:sz w:val="20"/>
          <w:szCs w:val="20"/>
          <w:color w:val="auto"/>
        </w:rPr>
      </w:pPr>
    </w:p>
    <w:p>
      <w:pPr>
        <w:jc w:val="both"/>
        <w:ind w:firstLine="644"/>
        <w:spacing w:after="0" w:line="266" w:lineRule="auto"/>
        <w:tabs>
          <w:tab w:leader="none" w:pos="81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Call Right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460" w:firstLine="642"/>
        <w:spacing w:after="0" w:line="254" w:lineRule="auto"/>
        <w:tabs>
          <w:tab w:leader="none" w:pos="227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Call Right; Trigger</w:t>
      </w:r>
      <w:r>
        <w:rPr>
          <w:rFonts w:ascii="Times New Roman" w:cs="Times New Roman" w:eastAsia="Times New Roman" w:hAnsi="Times New Roman"/>
          <w:sz w:val="18"/>
          <w:szCs w:val="18"/>
          <w:color w:val="auto"/>
        </w:rPr>
        <w:t>. Upon the first fiscal quarter of the Company for which the Company reports Quarterly Revenue of at least $2,000,000, as evidenced by the Company’s (i) Quarterly Report on Form 10-Q, (ii) Annual Report on Form 10-K, or (iii) a press release reporting such revenue that is furnished to the Commission on a Current Report on Form 8-K (each, a “Revenue Evidence Filing”), the Company shall have the right, upon written notice to the Holder, to call for exercise all or any portion of the then-outstanding and unexercised portion of this Warrant (the “Call Right”). The Warrant defines and uses terms including, without limitation, “Business Day,” “Trading Day,” “Trading Market,” “Closing Sale Price,” “Exercise Price,” “Notice,” “Standard Settlement Period,” and “Beneficial Ownership Limitation,” and such defined terms shall apply to this Section 3(g).</w:t>
      </w:r>
    </w:p>
    <w:p>
      <w:pPr>
        <w:spacing w:after="0" w:line="1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8" w:name="page29"/>
    <w:bookmarkEnd w:id="28"/>
    <w:p>
      <w:pPr>
        <w:jc w:val="both"/>
        <w:ind w:left="840"/>
        <w:spacing w:after="0" w:line="254" w:lineRule="auto"/>
        <w:rPr>
          <w:sz w:val="20"/>
          <w:szCs w:val="20"/>
          <w:color w:val="auto"/>
        </w:rPr>
      </w:pPr>
      <w:r>
        <w:rPr>
          <w:rFonts w:ascii="Times New Roman" w:cs="Times New Roman" w:eastAsia="Times New Roman" w:hAnsi="Times New Roman"/>
          <w:sz w:val="18"/>
          <w:szCs w:val="18"/>
          <w:u w:val="single" w:color="auto"/>
          <w:color w:val="auto"/>
        </w:rPr>
        <w:t>Definition of “Quarterly Revenue</w:t>
      </w:r>
      <w:r>
        <w:rPr>
          <w:rFonts w:ascii="Times New Roman" w:cs="Times New Roman" w:eastAsia="Times New Roman" w:hAnsi="Times New Roman"/>
          <w:sz w:val="18"/>
          <w:szCs w:val="18"/>
          <w:color w:val="auto"/>
        </w:rPr>
        <w:t>”. For purposes of this Section 3(g) Quarterly Revenue means, for any fiscal quarter, the Company’s gross revenue recognized in accordance with GAAP and consistently applied, derived solely from sales of the Company’s products and materials to unaffiliated third parties in the ordinary course of business, as reported in the applicable Revenue Evidence Filing, and expressly excluding, without limitation: (a) license fees, up-front payments, milestones, royalties, or other consideration from licensing or collaboration arrangements; (b) government or private grants, awards, subsidies, tax credits, or similar non-sales funding; (c) one-time or non-recurring items, including litigation or insurance recoveries and gain on sale or disposition of assets; (d) service, consulting, or contract research revenue not directly attributable to product or material sales; and (e) intercompany revenue and any amounts eliminated in consolidation.</w:t>
      </w:r>
    </w:p>
    <w:p>
      <w:pPr>
        <w:spacing w:after="0" w:line="192" w:lineRule="exact"/>
        <w:rPr>
          <w:sz w:val="20"/>
          <w:szCs w:val="20"/>
          <w:color w:val="auto"/>
        </w:rPr>
      </w:pPr>
    </w:p>
    <w:p>
      <w:pPr>
        <w:jc w:val="both"/>
        <w:ind w:left="1000" w:firstLine="642"/>
        <w:spacing w:after="0" w:line="254" w:lineRule="auto"/>
        <w:tabs>
          <w:tab w:leader="none" w:pos="183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Call Notice; Contents</w:t>
      </w:r>
      <w:r>
        <w:rPr>
          <w:rFonts w:ascii="Times New Roman" w:cs="Times New Roman" w:eastAsia="Times New Roman" w:hAnsi="Times New Roman"/>
          <w:sz w:val="18"/>
          <w:szCs w:val="18"/>
          <w:color w:val="auto"/>
        </w:rPr>
        <w:t>. To exercise the Call Right, the Company shall deliver a written notice to the Holder (a “Call Notice”) stating: (i) that the Call Right has been triggered pursuant to this Section 3(g) and reasonably identifying the Revenue Evidence Filing (including the report type and filing or press release date); (ii) the number of Warrant Shares subject to the call (the “Called Shares”), which may be all or any part of this Warrant then outstanding; (iii) the date and time by which the Called Shares must be exercised (the “Call Expiration Time”), which shall be 5:00 p.m., New York City time, on the fifth (5th) Business Day following the Holder’s receipt of the Call Notice; and (iv) the Call Exercise Price determined pursuant to Section 3(g)(iii) below and the calculation thereof. Notice shall be delivered in accordance with Section 5(h) (Notices).</w:t>
      </w:r>
    </w:p>
    <w:p>
      <w:pPr>
        <w:spacing w:after="0" w:line="191" w:lineRule="exact"/>
        <w:rPr>
          <w:rFonts w:ascii="Times New Roman" w:cs="Times New Roman" w:eastAsia="Times New Roman" w:hAnsi="Times New Roman"/>
          <w:sz w:val="18"/>
          <w:szCs w:val="18"/>
          <w:color w:val="auto"/>
        </w:rPr>
      </w:pPr>
    </w:p>
    <w:p>
      <w:pPr>
        <w:jc w:val="both"/>
        <w:ind w:left="1000" w:firstLine="642"/>
        <w:spacing w:after="0" w:line="258" w:lineRule="auto"/>
        <w:tabs>
          <w:tab w:leader="none" w:pos="19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Price Applicable to Called Exercise</w:t>
      </w:r>
      <w:r>
        <w:rPr>
          <w:rFonts w:ascii="Times New Roman" w:cs="Times New Roman" w:eastAsia="Times New Roman" w:hAnsi="Times New Roman"/>
          <w:sz w:val="18"/>
          <w:szCs w:val="18"/>
          <w:color w:val="auto"/>
        </w:rPr>
        <w:t>. Notwithstanding anything to the contrary herein, solely for exercises of Called Shares pursuant to a Call Notice, the per share exercise price shall be the lower of: (i) the Exercise Price then in effect, and (ii) the Closing Sale Price of the Common Stock on the Trading Market on the Trading Day immediately preceding the date of the Call Notice (the “Call Exercise Price”). “Exercise Price,” “Closing Sale Price,” “Trading Day,” and “Trading Market” have the meanings set forth in the Warrant.</w:t>
      </w:r>
    </w:p>
    <w:p>
      <w:pPr>
        <w:spacing w:after="0" w:line="18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9" w:name="page30"/>
    <w:bookmarkEnd w:id="29"/>
    <w:p>
      <w:pPr>
        <w:jc w:val="both"/>
        <w:ind w:left="1000" w:firstLine="642"/>
        <w:spacing w:after="0" w:line="253" w:lineRule="auto"/>
        <w:tabs>
          <w:tab w:leader="none" w:pos="18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Obligations During Call Period; Method of Exercise</w:t>
      </w:r>
      <w:r>
        <w:rPr>
          <w:rFonts w:ascii="Times New Roman" w:cs="Times New Roman" w:eastAsia="Times New Roman" w:hAnsi="Times New Roman"/>
          <w:sz w:val="18"/>
          <w:szCs w:val="18"/>
          <w:color w:val="auto"/>
        </w:rPr>
        <w:t>. (i) The Holder shall exercise the Called Shares by delivering a duly executed Notice of Exercise with respect to all or any portion of the Called Shares at any time on or prior to the Call Expiration Time; provided, that any exercise is subject to Section 2(e) (Beneficial Ownership Limitation Savings). The form and delivery mechanics for a Notice of Exercise are as set forth in Section 2(a). (ii) The Holder shall deliver to the Company the aggregate exercise price for such Called Shares, calculated using the Call Exercise Price, no later than the Call Expiration Time, it being expressly agreed that the Holder shall have five (5) Business Days from receipt of the Call Notice to deliver such payment. Wire or cashier’s check payment mechanics are as set forth in Section 2(a). (iii) If and to the extent a cashless exercise is otherwise permitted under the Warrant at the time of exercise, the Holder may elect a cashless exercise for any Called Shares in accordance with Section 2(c), and the number of Warrant Shares deliverable upon such cashless exercise shall be determined pursuant to Section 2(c), except that the “Exercise Price” used in such calculation shall be the Call Exercise Price. Cashless exercise mechanics and variables are as set forth in Section 2(c).</w:t>
      </w:r>
    </w:p>
    <w:p>
      <w:pPr>
        <w:spacing w:after="0" w:line="191" w:lineRule="exact"/>
        <w:rPr>
          <w:rFonts w:ascii="Times New Roman" w:cs="Times New Roman" w:eastAsia="Times New Roman" w:hAnsi="Times New Roman"/>
          <w:sz w:val="18"/>
          <w:szCs w:val="18"/>
          <w:color w:val="auto"/>
        </w:rPr>
      </w:pPr>
    </w:p>
    <w:p>
      <w:pPr>
        <w:jc w:val="both"/>
        <w:ind w:left="1000" w:firstLine="642"/>
        <w:spacing w:after="0" w:line="261" w:lineRule="auto"/>
        <w:tabs>
          <w:tab w:leader="none" w:pos="183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Delivery of Warrant Shares</w:t>
      </w:r>
      <w:r>
        <w:rPr>
          <w:rFonts w:ascii="Times New Roman" w:cs="Times New Roman" w:eastAsia="Times New Roman" w:hAnsi="Times New Roman"/>
          <w:sz w:val="18"/>
          <w:szCs w:val="18"/>
          <w:color w:val="auto"/>
        </w:rPr>
        <w:t>. Upon a timely exercise of Called Shares, the Company shall deliver the applicable Warrant Shares in accordance with Section 2(d), using the applicable Warrant Share Delivery Date calculated from the Holder’s Notice of Exercise. Delivery obligations, DWAC eligibility, and the Standard Settlement Period are as set forth in Section 2(d).</w:t>
      </w:r>
    </w:p>
    <w:p>
      <w:pPr>
        <w:spacing w:after="0" w:line="179" w:lineRule="exact"/>
        <w:rPr>
          <w:rFonts w:ascii="Times New Roman" w:cs="Times New Roman" w:eastAsia="Times New Roman" w:hAnsi="Times New Roman"/>
          <w:sz w:val="18"/>
          <w:szCs w:val="18"/>
          <w:color w:val="auto"/>
        </w:rPr>
      </w:pPr>
    </w:p>
    <w:p>
      <w:pPr>
        <w:jc w:val="both"/>
        <w:ind w:left="1000" w:firstLine="642"/>
        <w:spacing w:after="0" w:line="255" w:lineRule="auto"/>
        <w:tabs>
          <w:tab w:leader="none" w:pos="189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 Limitation Savings</w:t>
      </w:r>
      <w:r>
        <w:rPr>
          <w:rFonts w:ascii="Times New Roman" w:cs="Times New Roman" w:eastAsia="Times New Roman" w:hAnsi="Times New Roman"/>
          <w:sz w:val="18"/>
          <w:szCs w:val="18"/>
          <w:color w:val="auto"/>
        </w:rPr>
        <w:t>. Notwithstanding anything to the contrary herein, no Call Notice, and no exercise required hereby, shall obligate the Holder to exercise any portion of this Warrant to the extent that, after giving effect to such exercise, the Holder (together with its Attribution Parties) would beneficially own in excess of the Beneficial Ownership Limitation then applicable under Section 2(e). Any portion of the Called Shares that would, if exercised, result in the Holder exceeding the Beneficial Ownership Limitation shall automatically be excluded from the call and shall remain outstanding and uncalled and may be subject to one or more subsequent Call Notices in compliance with this Section 3(g). The Beneficial Ownership Limitation and related calculation provisions are set forth in Section 2(e).</w:t>
      </w:r>
    </w:p>
    <w:p>
      <w:pPr>
        <w:spacing w:after="0" w:line="188" w:lineRule="exact"/>
        <w:rPr>
          <w:rFonts w:ascii="Times New Roman" w:cs="Times New Roman" w:eastAsia="Times New Roman" w:hAnsi="Times New Roman"/>
          <w:sz w:val="18"/>
          <w:szCs w:val="18"/>
          <w:color w:val="auto"/>
        </w:rPr>
      </w:pPr>
    </w:p>
    <w:p>
      <w:pPr>
        <w:jc w:val="both"/>
        <w:ind w:left="1000" w:firstLine="642"/>
        <w:spacing w:after="0" w:line="256" w:lineRule="auto"/>
        <w:tabs>
          <w:tab w:leader="none" w:pos="19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Timely Exercise; Expiration of Called Portion</w:t>
      </w:r>
      <w:r>
        <w:rPr>
          <w:rFonts w:ascii="Times New Roman" w:cs="Times New Roman" w:eastAsia="Times New Roman" w:hAnsi="Times New Roman"/>
          <w:sz w:val="18"/>
          <w:szCs w:val="18"/>
          <w:color w:val="auto"/>
        </w:rPr>
        <w:t>. If the Holder fails to timely deliver a Notice of Exercise for any Called Shares on or prior to the Call Expiration Time, or, in the case of a cash exercise, fails to timely deliver the applicable aggregate exercise price in accordance with Section 2(a), then, in each case, the unexercised portion of such Called Shares shall automatically and without further action by any party expire and be cancelled as of the Call Expiration Time for no consideration, and the remaining uncalled portion (if any) shall continue in full force and effect in accordance with its terms.</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0" w:name="page31"/>
    <w:bookmarkEnd w:id="30"/>
    <w:p>
      <w:pPr>
        <w:jc w:val="both"/>
        <w:ind w:left="1000" w:firstLine="642"/>
        <w:spacing w:after="0" w:line="255" w:lineRule="auto"/>
        <w:tabs>
          <w:tab w:leader="none" w:pos="197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Calls; Determination of Called Shares</w:t>
      </w:r>
      <w:r>
        <w:rPr>
          <w:rFonts w:ascii="Times New Roman" w:cs="Times New Roman" w:eastAsia="Times New Roman" w:hAnsi="Times New Roman"/>
          <w:sz w:val="18"/>
          <w:szCs w:val="18"/>
          <w:color w:val="auto"/>
        </w:rPr>
        <w:t>. The Company may deliver one or more Call Notices from time to time, calling all or any portion of this Warrant then outstanding; provided, that each Call Notice shall specify the number of Called Shares subject to such Call Notice. Following any partial call and any exercises or expirations pursuant thereto, the number of Warrant Shares purchasable under this Warrant shall be reduced by the number of Called Shares so exercised or expired, and the Company shall, upon request and in accordance with Section 2(d)(ii), deliver a new warrant evidencing the unpurchased and uncalled Warrant Shares then remaining. Section 2(d)(ii) provides for delivery of a new Warrant upon partial exercise.</w:t>
      </w:r>
    </w:p>
    <w:p>
      <w:pPr>
        <w:spacing w:after="0" w:line="188" w:lineRule="exact"/>
        <w:rPr>
          <w:rFonts w:ascii="Times New Roman" w:cs="Times New Roman" w:eastAsia="Times New Roman" w:hAnsi="Times New Roman"/>
          <w:sz w:val="18"/>
          <w:szCs w:val="18"/>
          <w:color w:val="auto"/>
        </w:rPr>
      </w:pPr>
    </w:p>
    <w:p>
      <w:pPr>
        <w:jc w:val="both"/>
        <w:ind w:left="1000" w:firstLine="642"/>
        <w:spacing w:after="0" w:line="266" w:lineRule="auto"/>
        <w:tabs>
          <w:tab w:leader="none" w:pos="187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Cash Redemption; Nature of Call</w:t>
      </w:r>
      <w:r>
        <w:rPr>
          <w:rFonts w:ascii="Times New Roman" w:cs="Times New Roman" w:eastAsia="Times New Roman" w:hAnsi="Times New Roman"/>
          <w:sz w:val="18"/>
          <w:szCs w:val="18"/>
          <w:color w:val="auto"/>
        </w:rPr>
        <w:t>. For the avoidance of doubt, the Call Right effects an exercise only and does not provide for or permit any cash redemption or net cash settlement by the Company. Section 5(a) provides that the Company shall not be required to net cash settle an exercise of the Warrant.</w:t>
      </w:r>
    </w:p>
    <w:p>
      <w:pPr>
        <w:spacing w:after="0" w:line="175" w:lineRule="exact"/>
        <w:rPr>
          <w:rFonts w:ascii="Times New Roman" w:cs="Times New Roman" w:eastAsia="Times New Roman" w:hAnsi="Times New Roman"/>
          <w:sz w:val="18"/>
          <w:szCs w:val="18"/>
          <w:color w:val="auto"/>
        </w:rPr>
      </w:pPr>
    </w:p>
    <w:p>
      <w:pPr>
        <w:ind w:left="1000" w:firstLine="642"/>
        <w:spacing w:after="0" w:line="282" w:lineRule="auto"/>
        <w:tabs>
          <w:tab w:leader="none" w:pos="184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Exclusivity to Warrant</w:t>
      </w:r>
      <w:r>
        <w:rPr>
          <w:rFonts w:ascii="Times New Roman" w:cs="Times New Roman" w:eastAsia="Times New Roman" w:hAnsi="Times New Roman"/>
          <w:sz w:val="18"/>
          <w:szCs w:val="18"/>
          <w:color w:val="auto"/>
        </w:rPr>
        <w:t>. The Call Right set forth in this Section 3(g) applies solely to this Warrant and shall not apply to, or affect, any other warrant of the Company.</w:t>
      </w:r>
    </w:p>
    <w:p>
      <w:pPr>
        <w:spacing w:after="0" w:line="161"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000" w:firstLine="642"/>
        <w:spacing w:after="0" w:line="261" w:lineRule="auto"/>
        <w:tabs>
          <w:tab w:leader="none" w:pos="178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1" w:name="page32"/>
    <w:bookmarkEnd w:id="31"/>
    <w:p>
      <w:pPr>
        <w:jc w:val="both"/>
        <w:ind w:left="1460" w:firstLine="642"/>
        <w:spacing w:after="0" w:line="251" w:lineRule="auto"/>
        <w:tabs>
          <w:tab w:leader="none" w:pos="231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(other than a transaction solely to change the domicile of the Company),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to the Holder at its last email address as it shall appear upon the Warrant Register (as defined below)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3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2" w:name="page33"/>
    <w:bookmarkEnd w:id="32"/>
    <w:p>
      <w:pPr>
        <w:jc w:val="both"/>
        <w:ind w:firstLine="644"/>
        <w:spacing w:after="0" w:line="256" w:lineRule="auto"/>
        <w:tabs>
          <w:tab w:leader="none" w:pos="8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8" w:lineRule="auto"/>
        <w:tabs>
          <w:tab w:leader="none" w:pos="84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83"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(solely with respect to fractional share payments) , in no event shall the Company be required to net cash settle an exercise of this Warrant.</w:t>
      </w:r>
    </w:p>
    <w:p>
      <w:pPr>
        <w:spacing w:after="0" w:line="183" w:lineRule="exact"/>
        <w:rPr>
          <w:rFonts w:ascii="Times New Roman" w:cs="Times New Roman" w:eastAsia="Times New Roman" w:hAnsi="Times New Roman"/>
          <w:sz w:val="18"/>
          <w:szCs w:val="18"/>
          <w:color w:val="auto"/>
        </w:rPr>
      </w:pPr>
    </w:p>
    <w:p>
      <w:pPr>
        <w:jc w:val="both"/>
        <w:ind w:firstLine="644"/>
        <w:spacing w:after="0" w:line="258" w:lineRule="auto"/>
        <w:tabs>
          <w:tab w:leader="none" w:pos="8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3" w:name="page34"/>
    <w:bookmarkEnd w:id="33"/>
    <w:p>
      <w:pPr>
        <w:ind w:left="-460" w:right="20" w:firstLine="644"/>
        <w:spacing w:after="0" w:line="282" w:lineRule="auto"/>
        <w:tabs>
          <w:tab w:leader="none" w:pos="37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2"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4" w:name="page35"/>
    <w:bookmarkEnd w:id="34"/>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firstLine="644"/>
        <w:spacing w:after="0" w:line="282" w:lineRule="auto"/>
        <w:tabs>
          <w:tab w:leader="none" w:pos="83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82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firstLine="644"/>
        <w:spacing w:after="0" w:line="255" w:lineRule="auto"/>
        <w:tabs>
          <w:tab w:leader="none" w:pos="8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all rights hereunder terminate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8"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80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0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and the restrictions on transfer described herein or in the Purchase Agreement,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800" w:hanging="156"/>
        <w:spacing w:after="0"/>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w:t>
      </w:r>
    </w:p>
    <w:p>
      <w:pPr>
        <w:spacing w:after="0" w:line="206" w:lineRule="exact"/>
        <w:rPr>
          <w:rFonts w:ascii="Times New Roman" w:cs="Times New Roman" w:eastAsia="Times New Roman" w:hAnsi="Times New Roman"/>
          <w:sz w:val="18"/>
          <w:szCs w:val="18"/>
          <w:color w:val="auto"/>
        </w:rPr>
      </w:pPr>
    </w:p>
    <w:p>
      <w:pPr>
        <w:jc w:val="both"/>
        <w:ind w:firstLine="644"/>
        <w:spacing w:after="0" w:line="261" w:lineRule="auto"/>
        <w:tabs>
          <w:tab w:leader="none" w:pos="89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rule or regulation (including those of Nasdaq), but if any provision of this Warrant shall be prohibited by or invalid under applicable law, rule or regulation, such provision shall be ineffective to the extent of such prohibition or invalidity, without invalidating the remainder of such provisions or the remaining provisions of this Warrant.</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5" w:name="page36"/>
    <w:bookmarkEnd w:id="35"/>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Eric Olson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CEO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SINTX TECHNOLOGIES, INC.</w:t>
      </w:r>
    </w:p>
    <w:p>
      <w:pPr>
        <w:spacing w:after="0" w:line="225" w:lineRule="exact"/>
        <w:rPr>
          <w:sz w:val="20"/>
          <w:szCs w:val="20"/>
          <w:color w:val="auto"/>
        </w:rPr>
      </w:pPr>
    </w:p>
    <w:p>
      <w:pPr>
        <w:ind w:firstLine="1304"/>
        <w:spacing w:after="0" w:line="282" w:lineRule="auto"/>
        <w:tabs>
          <w:tab w:leader="none" w:pos="155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Warrant Shares as is necessary, pursuant to the cashless exercise provisions of Section 2(c), to exercise this Warrant with respect to the maximum number of Warrant Shares purchasable pursuant to the cashless exercise procedure set forth in subsection 2(c).</w:t>
      </w:r>
    </w:p>
    <w:p>
      <w:pPr>
        <w:spacing w:after="0" w:line="175" w:lineRule="exact"/>
        <w:rPr>
          <w:sz w:val="20"/>
          <w:szCs w:val="20"/>
          <w:color w:val="auto"/>
        </w:rPr>
      </w:pPr>
    </w:p>
    <w:p>
      <w:pPr>
        <w:ind w:left="1560" w:hanging="256"/>
        <w:spacing w:after="0"/>
        <w:tabs>
          <w:tab w:leader="none" w:pos="15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ind w:left="4760"/>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340" w:right="679"/>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June 2, 2026, between SINTX Technologies,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Section 4(a)(2) of the Securities Act (as defined below), and Rule 506 promulgated thereunder,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Bona Fide Equity Financing Transaction for Cash</w:t>
      </w:r>
      <w:r>
        <w:rPr>
          <w:rFonts w:ascii="Times New Roman" w:cs="Times New Roman" w:eastAsia="Times New Roman" w:hAnsi="Times New Roman"/>
          <w:sz w:val="18"/>
          <w:szCs w:val="18"/>
          <w:color w:val="auto"/>
        </w:rPr>
        <w:t>” means an issuance or sale by the Company of Common Stock or Common Stock Equivalents in a transaction the primary purpose of which is to raise equity capital for cash consideration, and shall not include any Exempt Issuance.</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Warrant</w:t>
      </w:r>
      <w:r>
        <w:rPr>
          <w:rFonts w:ascii="Times New Roman" w:cs="Times New Roman" w:eastAsia="Times New Roman" w:hAnsi="Times New Roman"/>
          <w:sz w:val="18"/>
          <w:szCs w:val="18"/>
          <w:color w:val="auto"/>
        </w:rPr>
        <w:t>” means the Class A Common Stock Purchase Warrant issued pursuant to this Agreement in the form attached as Exhibit A-1.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Warrant</w:t>
      </w:r>
      <w:r>
        <w:rPr>
          <w:rFonts w:ascii="Times New Roman" w:cs="Times New Roman" w:eastAsia="Times New Roman" w:hAnsi="Times New Roman"/>
          <w:sz w:val="18"/>
          <w:szCs w:val="18"/>
          <w:color w:val="auto"/>
        </w:rPr>
        <w:t>” means the Class B Common Stock Purchase Warrant issued pursuant to this Agreement in the form attached as Exhibit A-2.</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Warrant Shares</w:t>
      </w:r>
      <w:r>
        <w:rPr>
          <w:rFonts w:ascii="Times New Roman" w:cs="Times New Roman" w:eastAsia="Times New Roman" w:hAnsi="Times New Roman"/>
          <w:sz w:val="18"/>
          <w:szCs w:val="18"/>
          <w:color w:val="auto"/>
        </w:rPr>
        <w:t>” means the shares of Common Stock issuable upon exercise of the Class A Warrant.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Warrant Shares</w:t>
      </w:r>
      <w:r>
        <w:rPr>
          <w:rFonts w:ascii="Times New Roman" w:cs="Times New Roman" w:eastAsia="Times New Roman" w:hAnsi="Times New Roman"/>
          <w:sz w:val="18"/>
          <w:szCs w:val="18"/>
          <w:color w:val="auto"/>
        </w:rPr>
        <w:t>” means the shares of Common Stock issuable upon exercise of the Class B Warrant.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62"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any issuance of (a) shares of Common Stock, options or other equity awards to employees, officers, directors or consultants of the Company pursuant to any equity incentive plan or arrangement approved by the Board of Directors or a committee thereof,</w:t>
      </w:r>
    </w:p>
    <w:p>
      <w:pPr>
        <w:jc w:val="both"/>
        <w:ind w:left="4" w:hanging="4"/>
        <w:spacing w:after="0" w:line="250" w:lineRule="auto"/>
        <w:tabs>
          <w:tab w:leader="none" w:pos="2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upon the exercise, exchange or conversion of any securities outstanding on the date of this Agreement, provided that such securities are not amended after the date hereof to increase the number of shares issuable thereunder or to decrease the applicable exercise, exchange or conversion price thereof (other than customary anti-dilution adjustments for stock splits, stock dividends or similar events), (c) securities issued pursuant to acquisitions, strategic transactions, commercial collaborations, licensing arrangements, joint ventures or other similar non-financing transactions approved by the Board of Directors, provided that such issuances are not primarily for the purpose of raising capital,</w:t>
      </w:r>
    </w:p>
    <w:p>
      <w:pPr>
        <w:spacing w:after="0" w:line="1"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or Common Stock Equivalents issued pursuant to any at-the-market offering program, equity distribution agreement or similar continuous offering program established in compliance with applicable Nasdaq rules, (e) securities issued pursuant to equipment financings, commercial bank facilities, venture debt arrangements or similar non-convertible debt financings approved by the Board of Directors, and (f) any other securities designated by the Board of Directors in good faith as not constituting a financing transaction undertaken primarily for capital raising purposes.</w:t>
      </w:r>
    </w:p>
    <w:p>
      <w:pPr>
        <w:spacing w:after="0" w:line="18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40" w:name="page41"/>
    <w:bookmarkEnd w:id="40"/>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have the meaning ascribed to such term in Section 3.1(kk).</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3.1(bb).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shall have the meaning ascribed to such term in Section 4.1(c).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means $2.14, representing the portion of the aggregate purchase price allocated to each share of Common Stock sold pursuant to this Agreement. The aggregate purchase price per Unit is $2.39, consisting of one share of Common Stock, one Class A Warrant and one Class B Warrant, with $0.125 of the purchase price allocated to each Class A Warrant and Class B Warrant.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Unit Purchase Price</w:t>
      </w:r>
      <w:r>
        <w:rPr>
          <w:rFonts w:ascii="Times New Roman" w:cs="Times New Roman" w:eastAsia="Times New Roman" w:hAnsi="Times New Roman"/>
          <w:sz w:val="18"/>
          <w:szCs w:val="18"/>
          <w:color w:val="auto"/>
        </w:rPr>
        <w:t>” means $2.39 per Unit.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41" w:name="page42"/>
    <w:bookmarkEnd w:id="4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the Registration Rights Agreement, dated on or about the date hereof, among the Company and the Purchasers,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 registration statement meeting the requirements set forth in the Registration Rights Agreement and covering the resale by the Purchasers of the Shares and the Warrant Shares.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Warrants and the Warrant Shares.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and sold pursuant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purchase price paid by a Purchaser for Units purchased pursuant to this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means any entities disclosed in SEC Reports or as defined in Rule 405</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Class A Warrant Agreement and the Class B Warrant Agreement, each in the respective forms attached, and the Registration Rights Agreement, all exhibits and schedules thereto.</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Equiniti Trust Company, the current transfer agent of the Company, with a mailing address of 48 Wall Street, 22nd Floor, New York, NY 10005 and any successor transfer agent of the Company.</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42" w:name="page43"/>
    <w:bookmarkEnd w:id="4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w:t>
      </w:r>
      <w:r>
        <w:rPr>
          <w:rFonts w:ascii="Times New Roman" w:cs="Times New Roman" w:eastAsia="Times New Roman" w:hAnsi="Times New Roman"/>
          <w:sz w:val="18"/>
          <w:szCs w:val="18"/>
          <w:color w:val="auto"/>
        </w:rPr>
        <w:t>” means one (1) share of Common Stock, one (1) Class A Warrant and one (1) Class B Warrant.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Warrants.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shall mean the Class A Warrant and the Class B Warrant.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Company shall raise a minimum aggregate Subscription Amount of $5,000,000 and up to a maximum aggregate Subscription Amount of $7,000,000 pursuant to this Agreement.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the Closing Date, upon the terms and subject to the conditions set forth herein, the Company agrees to sell, and each Purchaser agrees to purchase, at the Closing, such number of Units as determined by dividing such Purchaser’s Subscription Amount by the Per Unit Purchase Price, substantially concurrent with the execution and delivery of this Agreement by the parties hereto. Each Unit shall consist of one (1) Share, one (1) Class A Warrant and one (1) Class B Warrant. The closing of the purchase and sale of the Securities (each, a “Closing”) may occur in one or more tranches, with each Closing to occur on a date mutually agreed by the Company and the applicable Purchasers. Upon satisfaction of the covenants and conditions set forth in Sections 2.2 and 2.3, the Closing shall take place remotely by electronic transfer of the Closing documentation.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60" w:hanging="256"/>
        <w:spacing w:after="0"/>
        <w:tabs>
          <w:tab w:leader="none" w:pos="1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(except as specified below), the Company shall deliver or cause to be delivered to each Purchaser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w:t>
      </w:r>
    </w:p>
    <w:p>
      <w:pPr>
        <w:spacing w:after="0" w:line="206"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the issuance of the Shares to such Purchaser in book-entry form registered in the name of such Purchaser;</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Warrant, in the form attached as Exhibit A-1 hereto, and the Class B Warrant, in the form attached as Exhibit A-2 hereto, each registered in the name of such Purchaser, with each such Warrant entitling the holder to purchase a number of shares of Common Stock equal to one hundred percent (100%) of the number of Shares issued to such Purchaser at the Closing, with an exercise price and term as set forth therein;</w:t>
      </w:r>
    </w:p>
    <w:p>
      <w:pPr>
        <w:spacing w:after="0" w:line="179"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9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each Purchaser with the Company’s wire instructions, on Company letterhead and executed by the Chief Executive Officer or Chief Financial Officer;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ind w:left="1540" w:hanging="248"/>
        <w:spacing w:after="0"/>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the Registration Rights Agreement duly executed by the Company.</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(except as specified below), each Purchaser shall deliver or cause to be delivered to the Company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w:t>
      </w:r>
    </w:p>
    <w:p>
      <w:pPr>
        <w:spacing w:after="0" w:line="206" w:lineRule="exact"/>
        <w:rPr>
          <w:rFonts w:ascii="Times New Roman" w:cs="Times New Roman" w:eastAsia="Times New Roman" w:hAnsi="Times New Roman"/>
          <w:sz w:val="18"/>
          <w:szCs w:val="18"/>
          <w:color w:val="auto"/>
        </w:rPr>
      </w:pPr>
    </w:p>
    <w:p>
      <w:pPr>
        <w:ind w:left="1500" w:hanging="208"/>
        <w:spacing w:after="0"/>
        <w:tabs>
          <w:tab w:leader="none" w:pos="15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w:t>
      </w:r>
    </w:p>
    <w:p>
      <w:pPr>
        <w:spacing w:after="0" w:line="225" w:lineRule="exact"/>
        <w:rPr>
          <w:sz w:val="20"/>
          <w:szCs w:val="20"/>
          <w:color w:val="auto"/>
        </w:rPr>
      </w:pPr>
    </w:p>
    <w:p>
      <w:pPr>
        <w:ind w:left="1560" w:hanging="268"/>
        <w:spacing w:after="0"/>
        <w:tabs>
          <w:tab w:leader="none" w:pos="1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by wire transfer to the account specified in writing by the Company;</w:t>
      </w:r>
    </w:p>
    <w:p>
      <w:pPr>
        <w:spacing w:after="0" w:line="225" w:lineRule="exact"/>
        <w:rPr>
          <w:rFonts w:ascii="Times New Roman" w:cs="Times New Roman" w:eastAsia="Times New Roman" w:hAnsi="Times New Roman"/>
          <w:sz w:val="18"/>
          <w:szCs w:val="18"/>
          <w:color w:val="auto"/>
        </w:rPr>
      </w:pPr>
    </w:p>
    <w:p>
      <w:pPr>
        <w:ind w:left="640" w:firstLine="652"/>
        <w:spacing w:after="0" w:line="282" w:lineRule="auto"/>
        <w:tabs>
          <w:tab w:leader="none" w:pos="16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Purchaser is a natural person or other non-institutional investor, if requested by the Company, a fully completed and duly executed Accredited Investor Questionnaire, satisfactory to the Company; and</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the Registration Rights Agreement duly executed by such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50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79"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156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w:t>
      </w:r>
    </w:p>
    <w:p>
      <w:pPr>
        <w:spacing w:after="0" w:line="207" w:lineRule="exact"/>
        <w:rPr>
          <w:sz w:val="20"/>
          <w:szCs w:val="20"/>
          <w:color w:val="auto"/>
        </w:rPr>
      </w:pPr>
    </w:p>
    <w:p>
      <w:pPr>
        <w:jc w:val="both"/>
        <w:ind w:left="640" w:firstLine="652"/>
        <w:spacing w:after="0" w:line="261" w:lineRule="auto"/>
        <w:tabs>
          <w:tab w:leader="none" w:pos="15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44" w:name="page45"/>
    <w:bookmarkEnd w:id="44"/>
    <w:p>
      <w:pPr>
        <w:ind w:left="1300" w:firstLine="652"/>
        <w:spacing w:after="0" w:line="282" w:lineRule="auto"/>
        <w:tabs>
          <w:tab w:leader="none" w:pos="221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Disclosure Schedules, which Disclosure Schedules shall be deemed a part hereof and shall qualify any representation made herein to the extent of the disclosure contained in the corresponding section of the Disclosure Schedules, the Company hereby makes the following representations and warranties to each Purchaser:</w:t>
      </w:r>
    </w:p>
    <w:p>
      <w:pPr>
        <w:spacing w:after="0" w:line="176" w:lineRule="exact"/>
        <w:rPr>
          <w:sz w:val="20"/>
          <w:szCs w:val="20"/>
          <w:color w:val="auto"/>
        </w:rPr>
      </w:pPr>
    </w:p>
    <w:p>
      <w:pPr>
        <w:jc w:val="both"/>
        <w:ind w:left="660" w:firstLine="644"/>
        <w:spacing w:after="0" w:line="253" w:lineRule="auto"/>
        <w:tabs>
          <w:tab w:leader="none" w:pos="156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89"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9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both"/>
        <w:ind w:left="-460" w:firstLine="644"/>
        <w:spacing w:after="0" w:line="253" w:lineRule="auto"/>
        <w:tabs>
          <w:tab w:leader="none" w:pos="43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5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pursuant to the Registration Rights Agreement, (iii) the notice and/or application(s) to each applicable Trading Market for the issuance and sale of the Securities and the listing of the Shares and Warrant Shares for trading thereon in the time and manner required thereby, and (iv) the filing of Form D with the Commission and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5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Warrant Shares, when issued in accordance with the terms of the Transaction Documents, will be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 and the Warrants.</w:t>
      </w:r>
    </w:p>
    <w:p>
      <w:pPr>
        <w:spacing w:after="0" w:line="1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46" w:name="page47"/>
    <w:bookmarkEnd w:id="46"/>
    <w:p>
      <w:pPr>
        <w:jc w:val="both"/>
        <w:ind w:left="-460" w:firstLine="644"/>
        <w:spacing w:after="0" w:line="256" w:lineRule="auto"/>
        <w:tabs>
          <w:tab w:leader="none" w:pos="41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as of the date hereof is as set forth in the Company’s most recent SEC Reports. All outstanding shares of Common Stock are duly authorized, validly issued, fully paid and nonassessable. Except as disclosed in the SEC Reports, (i) there are no outstanding securities convertible into or exercisable for Common Stock, and no agreements or commitments to issue any such securities, (ii) no Person has any preemptive or similar rights to participate in the transactions contemplated hereby, and (iii) the issuance and sale of the Securities will not obligate the Company to issue securities to any other Person. No further approval of the Company’s stockholders is required for the issuance and sale of the Securities (other than as may be required under Nasdaq rules).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4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4"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4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financial statements included in the SEC Reports, there has not been any Material Adverse Effect.</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47" w:name="page48"/>
    <w:bookmarkEnd w:id="47"/>
    <w:p>
      <w:pPr>
        <w:jc w:val="both"/>
        <w:ind w:left="-460" w:firstLine="644"/>
        <w:spacing w:after="0" w:line="255" w:lineRule="auto"/>
        <w:tabs>
          <w:tab w:leader="none" w:pos="40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Company’s SEC Reports or on Schedule 3.1(i), there is no action, suit, inquiry, notice of violation, proceeding or investigation pending or, to the knowledge of the Company, threatened against or affecting the Company or any Subsidiary that would reasonably be expected to result in a Material Adverse Effect (collectively, “Material Actions”). To the knowledge of the Company, none of the Material Actions, if determined adversely, would adversely affect the legality, validity or enforceability of the Transaction Documents or the Securities. To the knowledge of the Company, there is no material investigation by the Commission pending or threatened against the Company or any current or former director or officer of the Company, and the Commission has not issued any stop order suspending the effectiveness of any registration statement filed by the Company under the Securities Act.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0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The Company and its Subsidiaries are in compliance in all material respects with applicable employment and labor laws, and the Company is not aware of any material liability relating to employment or labor matters that would reasonably be expected to result in a Material Adverse Effect.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5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The Company and its Subsidiaries are in compliance in all material respects with applicable laws, rules, regulations, judgments and orders, and are not in default in any material respect under any material agreements to which they are a party, except, in each case, where such non-compliance or default would not reasonably be expected to result in a Material Adverse Effect.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0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49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its Subsidiaries have good title to their material assets, free and clear of Liens, except as would not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jc w:val="both"/>
        <w:ind w:left="-460" w:right="20" w:firstLine="644"/>
        <w:spacing w:after="0" w:line="266" w:lineRule="auto"/>
        <w:tabs>
          <w:tab w:leader="none" w:pos="44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its Subsidiaries own or have rights to use all intellectual property necessary to conduct their business as described in the SEC Reports, except where the failure to do so would not reasonably be expected to result in a Material Adverse Effect. The Company has not received written notice of any material infringement claim that remains unresolved.</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44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disclosed in the SEC Reports, there are no material related party transactions that would be required to be disclosed under applicable securities laws.</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48" w:name="page49"/>
    <w:bookmarkEnd w:id="48"/>
    <w:p>
      <w:pPr>
        <w:jc w:val="both"/>
        <w:ind w:left="-460" w:firstLine="644"/>
        <w:spacing w:after="0" w:line="258" w:lineRule="auto"/>
        <w:tabs>
          <w:tab w:leader="none" w:pos="47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3.1(p)</w:t>
      </w:r>
      <w:r>
        <w:rPr>
          <w:rFonts w:ascii="Times New Roman" w:cs="Times New Roman" w:eastAsia="Times New Roman" w:hAnsi="Times New Roman"/>
          <w:sz w:val="18"/>
          <w:szCs w:val="18"/>
          <w:color w:val="auto"/>
        </w:rPr>
        <w:t>, and other than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Section 3.2 and the accuracy of the information disclosed in the Accredited Investor Questionnaires, no 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1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2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xml:space="preserve">.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on </w:t>
      </w:r>
      <w:r>
        <w:rPr>
          <w:rFonts w:ascii="Times New Roman" w:cs="Times New Roman" w:eastAsia="Times New Roman" w:hAnsi="Times New Roman"/>
          <w:sz w:val="18"/>
          <w:szCs w:val="18"/>
          <w:u w:val="single" w:color="auto"/>
          <w:color w:val="auto"/>
        </w:rPr>
        <w:t>Schedule 3.1(s)</w:t>
      </w:r>
      <w:r>
        <w:rPr>
          <w:rFonts w:ascii="Times New Roman" w:cs="Times New Roman" w:eastAsia="Times New Roman" w:hAnsi="Times New Roman"/>
          <w:sz w:val="18"/>
          <w:szCs w:val="18"/>
          <w:color w:val="auto"/>
        </w:rPr>
        <w:t xml:space="preserve">,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set forth on </w:t>
      </w:r>
      <w:r>
        <w:rPr>
          <w:rFonts w:ascii="Times New Roman" w:cs="Times New Roman" w:eastAsia="Times New Roman" w:hAnsi="Times New Roman"/>
          <w:sz w:val="18"/>
          <w:szCs w:val="18"/>
          <w:u w:val="single" w:color="auto"/>
          <w:color w:val="auto"/>
        </w:rPr>
        <w:t>Schedule 3.1(s)</w:t>
      </w:r>
      <w:r>
        <w:rPr>
          <w:rFonts w:ascii="Times New Roman" w:cs="Times New Roman" w:eastAsia="Times New Roman" w:hAnsi="Times New Roman"/>
          <w:sz w:val="18"/>
          <w:szCs w:val="18"/>
          <w:color w:val="auto"/>
        </w:rPr>
        <w: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1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49" w:name="page50"/>
    <w:bookmarkEnd w:id="49"/>
    <w:p>
      <w:pPr>
        <w:jc w:val="both"/>
        <w:ind w:left="-460" w:firstLine="644"/>
        <w:spacing w:after="0" w:line="266" w:lineRule="auto"/>
        <w:tabs>
          <w:tab w:leader="none" w:pos="4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The Company and its Subsidiaries have filed all material tax returns required to be filed and have paid all material taxes due, except where the failure to do so would not reasonably be expected to result in a Material Adverse Effect. The Company is not aware of any material unpaid tax liabilities or material claims for taxes that would reasonably be expected to result in a Material Adverse Effect.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7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8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5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The Company is, and has been, in compliance in all material respects with applicable laws, rules and regulations of the U.S. Food and Drug Administration (“FDA”) and other applicable regulatory authorities governing its products and operations, except where the failure to be in compliance would not reasonably be expected to result in a Material Adverse Effect. The Company has not received any written notice from the FDA or other governmental authority alleging material non-compliance with applicable regulatory requirements that remains unresolved, and, to the knowledge of the Company, there is no pending or threatened material action by the FDA or any other governmental authority that would reasonably be expected to result in a Material Adverse Effect.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7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u w:val="single" w:color="auto"/>
          <w:color w:val="auto"/>
        </w:rPr>
        <w:t>Issuer Covered Persons</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50" w:name="page51"/>
    <w:bookmarkEnd w:id="5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3.2 Representations and Warranties of the Purchasers.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firstLine="644"/>
        <w:spacing w:after="0" w:line="253" w:lineRule="auto"/>
        <w:tabs>
          <w:tab w:leader="none" w:pos="89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firstLine="644"/>
        <w:spacing w:after="0" w:line="254" w:lineRule="auto"/>
        <w:tabs>
          <w:tab w:leader="none" w:pos="93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 Account</w:t>
      </w:r>
      <w:r>
        <w:rPr>
          <w:rFonts w:ascii="Times New Roman" w:cs="Times New Roman" w:eastAsia="Times New Roman" w:hAnsi="Times New Roman"/>
          <w:sz w:val="18"/>
          <w:szCs w:val="18"/>
          <w:color w:val="auto"/>
        </w:rPr>
        <w:t>. Such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51" w:name="page52"/>
    <w:bookmarkEnd w:id="51"/>
    <w:p>
      <w:pPr>
        <w:ind w:left="-460" w:firstLine="644"/>
        <w:spacing w:after="0" w:line="282" w:lineRule="auto"/>
        <w:tabs>
          <w:tab w:leader="none" w:pos="4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an “accredited investor” as defined in Rule 501(a) under the Securities Act.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3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to such Purchaser’s knowledge,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1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52" w:name="page53"/>
    <w:bookmarkEnd w:id="52"/>
    <w:p>
      <w:pPr>
        <w:jc w:val="both"/>
        <w:ind w:left="660" w:firstLine="644"/>
        <w:spacing w:after="0" w:line="252" w:lineRule="auto"/>
        <w:tabs>
          <w:tab w:leader="none" w:pos="156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AGREEMENTS OF THE PARTIES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5" w:lineRule="auto"/>
        <w:tabs>
          <w:tab w:leader="none" w:pos="157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may only be disposed of in compliance with state and federal securities laws. In connection with any transfer of Securities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the Registration Rights Agreement and shall have the rights and obligations of a Purchaser under this Agreement and the Registration Rights Agreement.</w:t>
      </w:r>
    </w:p>
    <w:p>
      <w:pPr>
        <w:spacing w:after="0" w:line="18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agree to the imprinting, so long as is required by this Section 4.1, of a legend on any of the Securities in the following</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88"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w:t>
      </w:r>
    </w:p>
    <w:p>
      <w:pPr>
        <w:spacing w:after="0" w:line="1" w:lineRule="exact"/>
        <w:rPr>
          <w:sz w:val="20"/>
          <w:szCs w:val="20"/>
          <w:color w:val="auto"/>
        </w:rPr>
      </w:pPr>
    </w:p>
    <w:p>
      <w:pPr>
        <w:ind w:left="4" w:hanging="4"/>
        <w:spacing w:after="0" w:line="260" w:lineRule="auto"/>
        <w:tabs>
          <w:tab w:leader="none" w:pos="2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or other applicable provision of the Securities Act to appropriately amend the list of Selling Stockholders (as defined in the Registration Rights Agreement) thereunder.</w:t>
      </w:r>
    </w:p>
    <w:p>
      <w:pPr>
        <w:spacing w:after="0" w:line="181" w:lineRule="exact"/>
        <w:rPr>
          <w:rFonts w:ascii="Times New Roman" w:cs="Times New Roman" w:eastAsia="Times New Roman" w:hAnsi="Times New Roman"/>
          <w:sz w:val="18"/>
          <w:szCs w:val="18"/>
          <w:color w:val="auto"/>
        </w:rPr>
      </w:pPr>
    </w:p>
    <w:p>
      <w:pPr>
        <w:jc w:val="both"/>
        <w:ind w:left="4" w:firstLine="644"/>
        <w:spacing w:after="0" w:line="267" w:lineRule="auto"/>
        <w:tabs>
          <w:tab w:leader="none" w:pos="91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Certificates evidencing the Shares and Warrant Shares shall not contain any legend (including the legend set forth in Section 4.1(b) hereof), (i) while a registration statement (including the Registration Statement) covering the resale of such security is effective under the Securities Act, (ii) following any sale of such Shares or Warrant Shares pursuant to Rule 144 (assuming cashless exercise of the Warrants), (iii) if such Shares or Warrant Shares are eligible for sale under Rule 144 (assuming cashless exercise of the Warrants)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if required by the Transfer Agent to effect the removal of the legend hereunder, or if requested by a Purchaser, respectively. If all or any portion of a Warrant is exercised at a time when there is an effective registration statement to cover the resale of the Warrant Shares, or if such Shares or Warrant Shares may be sold under Rule 144 and the Company is then in compliance with the current public information required under Rule 144 (assuming cashless exercise of the Warrants), or if the Shares or Warrant Shares may be sold under Rule 144 without the requirement for the Company to be in compliance with the current public information required under Rule 144 as to such Shares or Warrant Shares or if such legend is not otherwise required under applicable requirements of the Securities Act (including judicial interpretations and pronouncements issued by the staff of the Commission) then such Warrant Shares shall be issued free of all legends. The Company agrees that at such time as such legend is no longer required under this Section 4.1(c), it will, no later than the earlier of (i) one (1) Trading Day and (ii) the number of Trading Days comprising the Standard Settlement Period (as defined below) following the delivery by a Purchaser to the Company or the Transfer Agent of a certificate representing Shares or Warrant Shares, as the case may be, issued with a restrictive legend (such date, the “</w:t>
      </w:r>
      <w:r>
        <w:rPr>
          <w:rFonts w:ascii="Times New Roman" w:cs="Times New Roman" w:eastAsia="Times New Roman" w:hAnsi="Times New Roman"/>
          <w:sz w:val="17"/>
          <w:szCs w:val="17"/>
          <w:u w:val="single" w:color="auto"/>
          <w:color w:val="auto"/>
        </w:rPr>
        <w:t>Legend Removal Date</w:t>
      </w:r>
      <w:r>
        <w:rPr>
          <w:rFonts w:ascii="Times New Roman" w:cs="Times New Roman" w:eastAsia="Times New Roman" w:hAnsi="Times New Roman"/>
          <w:sz w:val="17"/>
          <w:szCs w:val="17"/>
          <w:color w:val="auto"/>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Certificates for Securities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 w:cs="Times New Roman" w:eastAsia="Times New Roman" w:hAnsi="Times New Roman"/>
          <w:sz w:val="17"/>
          <w:szCs w:val="17"/>
          <w:u w:val="single" w:color="auto"/>
          <w:color w:val="auto"/>
        </w:rPr>
        <w:t>Standard Settlement Period</w:t>
      </w:r>
      <w:r>
        <w:rPr>
          <w:rFonts w:ascii="Times New Roman" w:cs="Times New Roman" w:eastAsia="Times New Roman" w:hAnsi="Times New Roman"/>
          <w:sz w:val="17"/>
          <w:szCs w:val="17"/>
          <w:color w:val="auto"/>
        </w:rPr>
        <w:t>” means the standard settlement period, expressed in a number of Trading Days, on the Company’s primary Trading Market with respect to the Common Stock as in effect on the date of delivery of a certificate representing Shares or Warrant Shares, as the case may be, issued with a restrictive legend.</w:t>
      </w:r>
    </w:p>
    <w:p>
      <w:pPr>
        <w:spacing w:after="0" w:line="18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54" w:name="page55"/>
    <w:bookmarkEnd w:id="54"/>
    <w:p>
      <w:pPr>
        <w:jc w:val="both"/>
        <w:ind w:firstLine="644"/>
        <w:spacing w:after="0" w:line="258" w:lineRule="auto"/>
        <w:tabs>
          <w:tab w:leader="none" w:pos="93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4.1 is predicated upon the Company’s reliance upon this understanding.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 Public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61" w:lineRule="auto"/>
        <w:tabs>
          <w:tab w:leader="none" w:pos="92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earlier of the time that (i) no Purchaser owns Securities or (ii) the Warrants have expired, the Company covenants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9" w:lineRule="exact"/>
        <w:rPr>
          <w:rFonts w:ascii="Times New Roman" w:cs="Times New Roman" w:eastAsia="Times New Roman" w:hAnsi="Times New Roman"/>
          <w:sz w:val="18"/>
          <w:szCs w:val="18"/>
          <w:color w:val="auto"/>
        </w:rPr>
      </w:pPr>
    </w:p>
    <w:p>
      <w:pPr>
        <w:jc w:val="both"/>
        <w:ind w:firstLine="644"/>
        <w:spacing w:after="0" w:line="253" w:lineRule="auto"/>
        <w:tabs>
          <w:tab w:leader="none" w:pos="90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period commencing from the six (6) month anniversary of the date hereof and ending at such time that all of the Securities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then, in addition to such Purchaser’s other available remedies, the Company shall pay to a Purchaser, in cash, as partial liquidated damages and not as a penalty, by reason of any such delay in or reduction of its ability to sell the Securities, an amount in cash equal to two percent (2.0%) of the aggregate Subscription Amount of such Purchaser’s Securities on the day of a</w:t>
      </w:r>
    </w:p>
    <w:p>
      <w:pPr>
        <w:spacing w:after="0" w:line="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Public Information Failure and on every thirtieth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day (pro rated for periods totaling less than thirty days) thereafter until the earlier of (a) the date such Public Information Failure is cured and (b) such time that such public information is no longer required for the Purchasers to transfer the Shares and Warrant Shares pursuant to Rule 144. The payments to which a Purchaser shall be entitled pursuant to this Section 4.2(b) are referred to herein as “</w:t>
      </w:r>
      <w:r>
        <w:rPr>
          <w:rFonts w:ascii="Times New Roman" w:cs="Times New Roman" w:eastAsia="Times New Roman" w:hAnsi="Times New Roman"/>
          <w:sz w:val="17"/>
          <w:szCs w:val="17"/>
          <w:u w:val="single" w:color="auto"/>
          <w:color w:val="auto"/>
        </w:rPr>
        <w:t>Public Information Failure Payments</w:t>
      </w:r>
      <w:r>
        <w:rPr>
          <w:rFonts w:ascii="Times New Roman" w:cs="Times New Roman" w:eastAsia="Times New Roman" w:hAnsi="Times New Roman"/>
          <w:sz w:val="17"/>
          <w:szCs w:val="17"/>
          <w:color w:val="auto"/>
        </w:rPr>
        <w:t>.” Public Information Failure Payments shall be paid on the earlier of (i) the last day of the</w:t>
      </w:r>
    </w:p>
    <w:p>
      <w:pPr>
        <w:spacing w:after="0" w:line="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calendar month during which such Public Information Failure Payments are incurred and (ii)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20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55" w:name="page56"/>
    <w:bookmarkEnd w:id="5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promptly following execution,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(i) any registration statement contemplated by the Registration Rights Agreement and (ii)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Short Sales; Hedging Restrictions.</w:t>
      </w:r>
      <w:r>
        <w:rPr>
          <w:rFonts w:ascii="Times New Roman" w:cs="Times New Roman" w:eastAsia="Times New Roman" w:hAnsi="Times New Roman"/>
          <w:sz w:val="18"/>
          <w:szCs w:val="18"/>
          <w:color w:val="auto"/>
        </w:rPr>
        <w:t xml:space="preserve"> Each Purchaser agrees that, from the date of this Agreement until the earlier of (i) ninety (90) days following the initial Closing Date and (ii) such time as a Registration Statement covering the resale of the Shares and Warrant Shares is declared effective by the Commission, such Purchaser shall not, directly or indirectly, (a) engage in any “short sales” (as defined in Rule 200 of Regulation SHO under the Exchange Act) of the Common Stock or (b) lend, pledge, or otherwise transfer any Shares or Warrant Shares for the purpose of facilitating any short sales or hedging transactions in the Common Stock.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nothing herein shall restrict (i) sales of Shares or Warrant Shares by a Purchaser in compliance with applicable securities laws, (ii) customary hedging transactions by a Purchaser that do not involve short sales of the Common Stock, or (iii) activities of any Affiliates of a Purchaser that are managed independently and without knowledge of the transactions contemplated hereby.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attached hereto,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(c) in connection with any registration statement of the Company providing for the resale by the Purchasers of the Securities,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and warranties of such Purchaser Party in this Agreement.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 From the date hereof until sixty (60) days after the Closing Date, neither the Company nor any Subsidiary shall (i) issue, enter into any agreement to issue or announce the issuance or proposed issuance of any shares of Common Stock or Common Stock Equivalents in a Bona Fide Equity Financing Transaction for Cash or (ii) file any registration statement or any amendment or supplement thereto, in each case other than</w:t>
      </w:r>
    </w:p>
    <w:p>
      <w:pPr>
        <w:spacing w:after="0" w:line="1" w:lineRule="exact"/>
        <w:rPr>
          <w:sz w:val="20"/>
          <w:szCs w:val="20"/>
          <w:color w:val="auto"/>
        </w:rPr>
      </w:pPr>
    </w:p>
    <w:p>
      <w:pPr>
        <w:ind w:right="20" w:firstLine="8"/>
        <w:spacing w:after="0" w:line="260" w:lineRule="auto"/>
        <w:tabs>
          <w:tab w:leader="none" w:pos="31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contemplated pursuant to the Registration Rights Agreement, (B) a registration statement on Form S-8 in connection with any employee benefit plan, or (C) any Exempt Issuance.</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Acknowledgment of Dilution</w:t>
      </w:r>
      <w:r>
        <w:rPr>
          <w:rFonts w:ascii="Times New Roman" w:cs="Times New Roman" w:eastAsia="Times New Roman" w:hAnsi="Times New Roman"/>
          <w:sz w:val="18"/>
          <w:szCs w:val="18"/>
          <w:color w:val="auto"/>
        </w:rPr>
        <w:t>. The Company acknowledges that the issuance of the Securities may result in dilution of the outstanding shares of Common Stock, which dilution may be substantial under certain market conditions. The Company further acknowledges that its obligations under the Transaction Documents, including, without limitation, its obligation to issue the Shares and Warrant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The Company shall not enter into any Variable Rate Transaction (as defined below) during the twelve (12) month period following the Closing Date without the prior written consent of Purchasers holding a majority of the Shares issued hereunder. “Variable Rate Transaction” means a transaction in which the Company issues or sells any Common Stock or Common Stock Equivalents with a conversion price, exercise price or exchange rate that is based upon or varies with the trading prices of the Common Stock after the date of issuance, excluding any Exempt Issuance.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Times New Roman" w:cs="Times New Roman" w:eastAsia="Times New Roman" w:hAnsi="Times New Roman"/>
          <w:sz w:val="18"/>
          <w:szCs w:val="18"/>
          <w:color w:val="auto"/>
        </w:rPr>
        <w:t>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attached hereto on a day that is not a Trading Day or later than 5:30 p.m. (New 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Section 5.5 shall be binding upon each Purchaser and holder of Securities and the Company.</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Warrants (including, issuance of a replacement warrant certificate evidencing such restored right).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SINTX TECHNOLOGIES, INC.</w:t>
            </w:r>
          </w:p>
        </w:tc>
        <w:tc>
          <w:tcPr>
            <w:tcW w:w="2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 for Notice:</w:t>
            </w:r>
          </w:p>
        </w:tc>
      </w:tr>
      <w:tr>
        <w:trPr>
          <w:trHeight w:val="20"/>
        </w:trPr>
        <w:tc>
          <w:tcPr>
            <w:tcW w:w="296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453"/>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Email: SINTX Legal</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Eric Olson</w:t>
            </w:r>
          </w:p>
        </w:tc>
        <w:tc>
          <w:tcPr>
            <w:tcW w:w="25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1885 W 2100 S</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Chairman and CEO</w:t>
            </w: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Salt Lake City, UT 84119</w:t>
            </w:r>
          </w:p>
        </w:tc>
      </w:tr>
      <w:tr>
        <w:trPr>
          <w:trHeight w:val="194"/>
        </w:trPr>
        <w:tc>
          <w:tcPr>
            <w:tcW w:w="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legalnotices@sintx.com</w:t>
            </w:r>
          </w:p>
        </w:tc>
        <w:tc>
          <w:tcPr>
            <w:tcW w:w="3760" w:type="dxa"/>
            <w:vAlign w:val="bottom"/>
          </w:tcPr>
          <w:p>
            <w:pPr>
              <w:spacing w:after="0"/>
              <w:rPr>
                <w:sz w:val="16"/>
                <w:szCs w:val="16"/>
                <w:color w:val="auto"/>
              </w:rPr>
            </w:pPr>
          </w:p>
        </w:tc>
      </w:tr>
      <w:tr>
        <w:trPr>
          <w:trHeight w:val="237"/>
        </w:trPr>
        <w:tc>
          <w:tcPr>
            <w:tcW w:w="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kontiveros@sintx.com</w:t>
            </w:r>
          </w:p>
        </w:tc>
      </w:tr>
      <w:tr>
        <w:trPr>
          <w:trHeight w:val="414"/>
        </w:trPr>
        <w:tc>
          <w:tcPr>
            <w:tcW w:w="5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280" w:type="dxa"/>
            <w:vAlign w:val="bottom"/>
            <w:gridSpan w:val="5"/>
          </w:tcPr>
          <w:p>
            <w:pPr>
              <w:jc w:val="center"/>
              <w:ind w:right="2960"/>
              <w:spacing w:after="0"/>
              <w:rPr>
                <w:sz w:val="20"/>
                <w:szCs w:val="20"/>
                <w:color w:val="auto"/>
              </w:rPr>
            </w:pPr>
            <w:r>
              <w:rPr>
                <w:rFonts w:ascii="Times New Roman" w:cs="Times New Roman" w:eastAsia="Times New Roman" w:hAnsi="Times New Roman"/>
                <w:sz w:val="18"/>
                <w:szCs w:val="18"/>
                <w:color w:val="auto"/>
                <w:w w:val="99"/>
              </w:rPr>
              <w:t>[REMAINDER OF PAGE INTENTIONALLY LEFT BLANK</w:t>
            </w:r>
          </w:p>
        </w:tc>
      </w:tr>
      <w:tr>
        <w:trPr>
          <w:trHeight w:val="234"/>
        </w:trPr>
        <w:tc>
          <w:tcPr>
            <w:tcW w:w="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280" w:type="dxa"/>
            <w:vAlign w:val="bottom"/>
            <w:gridSpan w:val="5"/>
          </w:tcPr>
          <w:p>
            <w:pPr>
              <w:jc w:val="center"/>
              <w:ind w:right="2960"/>
              <w:spacing w:after="0"/>
              <w:rPr>
                <w:sz w:val="20"/>
                <w:szCs w:val="20"/>
                <w:color w:val="auto"/>
              </w:rPr>
            </w:pPr>
            <w:r>
              <w:rPr>
                <w:rFonts w:ascii="Times New Roman" w:cs="Times New Roman" w:eastAsia="Times New Roman" w:hAnsi="Times New Roman"/>
                <w:sz w:val="18"/>
                <w:szCs w:val="18"/>
                <w:color w:val="auto"/>
                <w:w w:val="99"/>
              </w:rPr>
              <w:t>SIGNATURE PAGE FOR PURCHASER FOLLOWS]</w:t>
            </w:r>
          </w:p>
        </w:tc>
      </w:tr>
      <w:tr>
        <w:trPr>
          <w:trHeight w:val="432"/>
        </w:trPr>
        <w:tc>
          <w:tcPr>
            <w:tcW w:w="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jc w:val="center"/>
              <w:ind w:left="2470"/>
              <w:spacing w:after="0"/>
              <w:rPr>
                <w:sz w:val="20"/>
                <w:szCs w:val="20"/>
                <w:color w:val="auto"/>
              </w:rPr>
            </w:pPr>
            <w:r>
              <w:rPr>
                <w:rFonts w:ascii="Times New Roman" w:cs="Times New Roman" w:eastAsia="Times New Roman" w:hAnsi="Times New Roman"/>
                <w:sz w:val="18"/>
                <w:szCs w:val="18"/>
                <w:color w:val="auto"/>
                <w:w w:val="99"/>
              </w:rPr>
              <w:t>27</w:t>
            </w:r>
          </w:p>
        </w:tc>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color w:val="auto"/>
        </w:rPr>
        <w:t>[PURCHASER SIGNATURE PAGES TO SINT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Class A Warrant Shares: 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Class B Warrant Shares: 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Class A Common Stock Purchase Warrant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Exhibit A-2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Class B Common Stock Purchase Warrant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of Exceptions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Schedule 3.1(s). </w:t>
      </w:r>
      <w:r>
        <w:rPr>
          <w:rFonts w:ascii="Times New Roman" w:cs="Times New Roman" w:eastAsia="Times New Roman" w:hAnsi="Times New Roman"/>
          <w:sz w:val="18"/>
          <w:szCs w:val="18"/>
          <w:color w:val="auto"/>
        </w:rPr>
        <w:t>On May 22, 2026, SINTX Technologies, Inc. (the “Company”) received a letter (the “Notice”) from the Listing Qualifications Department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Nasdaq Stock Market LLC (“Nasdaq”) notifying the Company that it is not in compliance with Nasdaq Listing Rule 5550(b)(1), which requires companies listed on The Nasdaq Capital Market to maintain a minimum of $2.5 million in stockholders’ equity for continued listing. See the Current Report on Form 8-K filed with the SEC on May 27, 2026.</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June 2, 2026, between SINTX Technologies,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several purchasers signatory hereto (each such purchaser,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is made pursuant to the Securities Purchase Agreement, dated as of the date hereof, between the Company and each Purchaser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each Purchaser hereby agrees as follows:</w:t>
      </w:r>
    </w:p>
    <w:p>
      <w:pPr>
        <w:spacing w:after="0" w:line="225" w:lineRule="exact"/>
        <w:rPr>
          <w:sz w:val="20"/>
          <w:szCs w:val="20"/>
          <w:color w:val="auto"/>
        </w:rPr>
      </w:pPr>
    </w:p>
    <w:p>
      <w:pPr>
        <w:ind w:left="840" w:hanging="184"/>
        <w:spacing w:after="0"/>
        <w:tabs>
          <w:tab w:leader="none" w:pos="8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Capitalized terms used and not otherwise defined herein that are defined in the Purchase Agreement shall have the meanings given such terms in the Purchase Agreement. </w:t>
      </w:r>
      <w:r>
        <w:rPr>
          <w:rFonts w:ascii="Times New Roman" w:cs="Times New Roman" w:eastAsia="Times New Roman" w:hAnsi="Times New Roman"/>
          <w:sz w:val="18"/>
          <w:szCs w:val="18"/>
          <w:color w:val="auto"/>
        </w:rPr>
        <w:t>As used in this Agreement, the following terms shall have the following meanings: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shall have the meaning set forth in Section 6(c).</w:t>
      </w:r>
    </w:p>
    <w:p>
      <w:pPr>
        <w:spacing w:after="0" w:line="229" w:lineRule="exact"/>
        <w:rPr>
          <w:sz w:val="20"/>
          <w:szCs w:val="20"/>
          <w:color w:val="auto"/>
        </w:rPr>
      </w:pPr>
    </w:p>
    <w:p>
      <w:pPr>
        <w:jc w:val="both"/>
        <w:ind w:left="660" w:firstLine="648"/>
        <w:spacing w:after="0" w:line="19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means, with respect to the Initial Registration Statement required to be filed hereunder,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Closing Date (as defined in the Purchase Agreement), or, in the event of a “full review” by the Commission,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Closing Date, and with respect to any additional Registration Statements which may be required pursuant to Section 2(c) or Section 3(c),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on which an additional Registration Statement is required to be filed hereunder (or, in the event of a</w:t>
      </w:r>
    </w:p>
    <w:p>
      <w:pPr>
        <w:jc w:val="both"/>
        <w:ind w:left="660"/>
        <w:spacing w:after="0" w:line="234" w:lineRule="auto"/>
        <w:rPr>
          <w:sz w:val="20"/>
          <w:szCs w:val="20"/>
          <w:color w:val="auto"/>
        </w:rPr>
      </w:pPr>
      <w:r>
        <w:rPr>
          <w:rFonts w:ascii="Times New Roman" w:cs="Times New Roman" w:eastAsia="Times New Roman" w:hAnsi="Times New Roman"/>
          <w:sz w:val="18"/>
          <w:szCs w:val="18"/>
          <w:color w:val="auto"/>
        </w:rPr>
        <w:t>“full review” by the Commission,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such additional Registration Statement is required to be filed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1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shall have the meaning set forth in Section 2(a).</w:t>
      </w:r>
    </w:p>
    <w:p>
      <w:pPr>
        <w:spacing w:after="0" w:line="229" w:lineRule="exact"/>
        <w:rPr>
          <w:sz w:val="20"/>
          <w:szCs w:val="20"/>
          <w:color w:val="auto"/>
        </w:rPr>
      </w:pPr>
    </w:p>
    <w:p>
      <w:pPr>
        <w:jc w:val="both"/>
        <w:ind w:left="660" w:firstLine="648"/>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Filing Date</w:t>
      </w:r>
      <w:r>
        <w:rPr>
          <w:rFonts w:ascii="Times New Roman" w:cs="Times New Roman" w:eastAsia="Times New Roman" w:hAnsi="Times New Roman"/>
          <w:sz w:val="17"/>
          <w:szCs w:val="17"/>
          <w:color w:val="auto"/>
        </w:rPr>
        <w:t>” means, with respect to the Initial Registration Statement required hereunder,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calendar day following the date hereof and,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means the initial Registration Statement filed pursuant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5(a).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have the meaning set forth in Section 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87"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as of any date of determination, (a) all Shares, (b) all Warrant Shares then issued and issuable upon exercise of the Warrants (assuming on such date the Warrants are exercised in full without regard to any exercise limitations therein), (c) any additional shares of Common Stock issued and issuable in connection with any anti-dilution provisions in the Warrants (in each case, without giving effect to any limitations on exercise set forth in the Warrants) and (d) any securities issued or then issuable upon any stock split, dividend or other distribution, recapitalization or similar event with respect to the foregoing;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spacing w:after="0" w:line="197"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180"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shall have the meaning set forth in Section 3(a).</w:t>
      </w:r>
    </w:p>
    <w:p>
      <w:pPr>
        <w:spacing w:after="0" w:line="225"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publicly-available written or oral guidance of the Commission staff, or any comments, requirements or requests of the Commission staff and (ii) the Securities Act.</w:t>
      </w:r>
    </w:p>
    <w:p>
      <w:pPr>
        <w:spacing w:after="0" w:line="162" w:lineRule="exact"/>
        <w:rPr>
          <w:sz w:val="20"/>
          <w:szCs w:val="20"/>
          <w:color w:val="auto"/>
        </w:rPr>
      </w:pPr>
    </w:p>
    <w:p>
      <w:pPr>
        <w:ind w:left="184" w:hanging="184"/>
        <w:spacing w:after="0"/>
        <w:tabs>
          <w:tab w:leader="none" w:pos="1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89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Section 2(e)) and shall contain (unless otherwise directed by at least 85% in interest of the Holders) substantially the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substantially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xml:space="preserve">” section attached hereto as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Holder shall be required to be named as an “underwriter” without such Holder’s express prior written consent. Subject to the terms of this Agreement, the Company shall use its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best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The Company shall request effectiveness of a Registration Statement as of 5:00 p.m. (New York City time) on a Trading Day. The Company shall promptly notify the Holders via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269875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72" w:name="page73"/>
    <w:bookmarkEnd w:id="72"/>
    <w:p>
      <w:pPr>
        <w:jc w:val="both"/>
        <w:ind w:firstLine="644"/>
        <w:spacing w:after="0" w:line="254" w:lineRule="auto"/>
        <w:tabs>
          <w:tab w:leader="none" w:pos="94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spacing w:after="0" w:line="191" w:lineRule="exact"/>
        <w:rPr>
          <w:rFonts w:ascii="Times New Roman" w:cs="Times New Roman" w:eastAsia="Times New Roman" w:hAnsi="Times New Roman"/>
          <w:sz w:val="18"/>
          <w:szCs w:val="18"/>
          <w:color w:val="auto"/>
        </w:rPr>
      </w:pPr>
    </w:p>
    <w:p>
      <w:pPr>
        <w:jc w:val="both"/>
        <w:ind w:firstLine="644"/>
        <w:spacing w:after="0" w:line="258" w:lineRule="auto"/>
        <w:tabs>
          <w:tab w:leader="none" w:pos="89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spacing w:after="0" w:line="183" w:lineRule="exact"/>
        <w:rPr>
          <w:sz w:val="20"/>
          <w:szCs w:val="20"/>
          <w:color w:val="auto"/>
        </w:rPr>
      </w:pPr>
    </w:p>
    <w:p>
      <w:pPr>
        <w:ind w:left="960" w:hanging="316"/>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Company shall reduce or eliminate any securities to be included other than Registrable Securities;</w:t>
      </w:r>
    </w:p>
    <w:p>
      <w:pPr>
        <w:spacing w:after="0" w:line="225" w:lineRule="exact"/>
        <w:rPr>
          <w:rFonts w:ascii="Times New Roman" w:cs="Times New Roman" w:eastAsia="Times New Roman" w:hAnsi="Times New Roman"/>
          <w:sz w:val="18"/>
          <w:szCs w:val="18"/>
          <w:color w:val="auto"/>
        </w:rPr>
      </w:pPr>
    </w:p>
    <w:p>
      <w:pPr>
        <w:jc w:val="both"/>
        <w:ind w:left="960" w:hanging="316"/>
        <w:spacing w:after="0" w:line="266" w:lineRule="auto"/>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Company shall reduce Registrable Securities represented by Common Warrant Shares (applied, in the case that some Common Warrant Shares may be registered, to the Holders on a pro rata basis based on the total number of unregistered Common Warrant Shares held by such Holders); and</w:t>
      </w:r>
    </w:p>
    <w:p>
      <w:pPr>
        <w:spacing w:after="0" w:line="175" w:lineRule="exact"/>
        <w:rPr>
          <w:rFonts w:ascii="Times New Roman" w:cs="Times New Roman" w:eastAsia="Times New Roman" w:hAnsi="Times New Roman"/>
          <w:sz w:val="18"/>
          <w:szCs w:val="18"/>
          <w:color w:val="auto"/>
        </w:rPr>
      </w:pPr>
    </w:p>
    <w:p>
      <w:pPr>
        <w:jc w:val="both"/>
        <w:ind w:left="960" w:hanging="316"/>
        <w:spacing w:after="0" w:line="266" w:lineRule="auto"/>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the Company shall reduce Registrable Securities represented by Shares and Warrant Shares (applied, in the case that some Shares and Warrant Shares may be registered, to the Holders on a pro rata basis based on the total number of unregistered Shares and Warrant Shares held by such Holders).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of a cutback hereunder, the Company shall give the Holder at least three (3) Trading Days prior written notice along with the calculations as to such Holder’s allotment. In the event the Company amends the Initial Registration Statement in accordance with the foregoing, the Company will use its best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265430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73" w:name="page74"/>
    <w:bookmarkEnd w:id="73"/>
    <w:p>
      <w:pPr>
        <w:ind w:left="184" w:hanging="184"/>
        <w:spacing w:after="0"/>
        <w:tabs>
          <w:tab w:leader="none" w:pos="18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connection with the Company’s registration obligations hereunder, the Company shall:</w:t>
      </w:r>
    </w:p>
    <w:p>
      <w:pPr>
        <w:spacing w:after="0" w:line="225" w:lineRule="exact"/>
        <w:rPr>
          <w:sz w:val="20"/>
          <w:szCs w:val="20"/>
          <w:color w:val="auto"/>
        </w:rPr>
      </w:pPr>
    </w:p>
    <w:p>
      <w:pPr>
        <w:jc w:val="both"/>
        <w:ind w:left="4" w:firstLine="644"/>
        <w:spacing w:after="0" w:line="253" w:lineRule="auto"/>
        <w:tabs>
          <w:tab w:leader="none" w:pos="89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less than five (5) Trading Days prior to the filing of each Registration Statement and not less than one (1) Trading Day prior to the filing of any related Prospectus or any amendment or supplement thereto (excluding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Each Holder agrees to furnish to the Company a completed questionnaire in the form attached to this Agreement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Selling Stockholder</w:t>
      </w:r>
    </w:p>
    <w:p>
      <w:pPr>
        <w:spacing w:after="0" w:line="3" w:lineRule="exact"/>
        <w:rPr>
          <w:sz w:val="20"/>
          <w:szCs w:val="20"/>
          <w:color w:val="auto"/>
        </w:rPr>
      </w:pPr>
    </w:p>
    <w:p>
      <w:pPr>
        <w:ind w:left="4"/>
        <w:spacing w:after="0" w:line="209" w:lineRule="auto"/>
        <w:rPr>
          <w:sz w:val="20"/>
          <w:szCs w:val="20"/>
          <w:color w:val="auto"/>
        </w:rPr>
      </w:pPr>
      <w:r>
        <w:rPr>
          <w:rFonts w:ascii="Times New Roman" w:cs="Times New Roman" w:eastAsia="Times New Roman" w:hAnsi="Times New Roman"/>
          <w:sz w:val="18"/>
          <w:szCs w:val="18"/>
          <w:u w:val="single" w:color="auto"/>
          <w:color w:val="auto"/>
        </w:rPr>
        <w:t>Questionnaire</w:t>
      </w:r>
      <w:r>
        <w:rPr>
          <w:rFonts w:ascii="Times New Roman" w:cs="Times New Roman" w:eastAsia="Times New Roman" w:hAnsi="Times New Roman"/>
          <w:sz w:val="18"/>
          <w:szCs w:val="18"/>
          <w:color w:val="auto"/>
        </w:rPr>
        <w:t>”) on a date that is not less than two (2) Trading Days prior to the Filing Date or by the end of the fourth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following the date on which such Holder receives draft materials in accordance with this Section.</w:t>
      </w:r>
    </w:p>
    <w:p>
      <w:pPr>
        <w:spacing w:after="0" w:line="200" w:lineRule="exact"/>
        <w:rPr>
          <w:sz w:val="20"/>
          <w:szCs w:val="20"/>
          <w:color w:val="auto"/>
        </w:rPr>
      </w:pPr>
    </w:p>
    <w:p>
      <w:pPr>
        <w:jc w:val="both"/>
        <w:ind w:left="4" w:firstLine="644"/>
        <w:spacing w:after="0" w:line="269" w:lineRule="auto"/>
        <w:tabs>
          <w:tab w:leader="none" w:pos="909"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w:t>
      </w:r>
    </w:p>
    <w:p>
      <w:pPr>
        <w:spacing w:after="0" w:line="2" w:lineRule="exact"/>
        <w:rPr>
          <w:rFonts w:ascii="Times New Roman" w:cs="Times New Roman" w:eastAsia="Times New Roman" w:hAnsi="Times New Roman"/>
          <w:sz w:val="17"/>
          <w:szCs w:val="17"/>
          <w:color w:val="auto"/>
        </w:rPr>
      </w:pPr>
    </w:p>
    <w:p>
      <w:pPr>
        <w:jc w:val="both"/>
        <w:ind w:left="4" w:hanging="4"/>
        <w:spacing w:after="0" w:line="252" w:lineRule="auto"/>
        <w:tabs>
          <w:tab w:leader="none" w:pos="32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2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Effectiveness Period, the number of Registrable Securities at any time exceeds 100% of the number of shares of Common Stock then registered in a Registration Statement, then the Company shall file as soon as reasonably practicable and in accordance with applicable law an additional Registration Statement covering the resale by the Holders of not less than the number of such Registrable Securities.</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95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Holders of Registrable Securities to be sold (which notice shall, pursuant to clauses (iii) through (vi) hereof, be accompanied by an instruction to suspend the use of the Prospectus until the requisite changes have been made) as promptly as reasonably possible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such notice contain any information which would constitute material, non-public information regarding the Company or any of its Subsidiaries, and the Company agrees that the Holders shall not have any duty of confidentiality to the Company or any of its Subsidiaries and shall not have any duty to the Company or any of its Subsidiaries not to trade on the basis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267970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74" w:name="page75"/>
    <w:bookmarkEnd w:id="74"/>
    <w:p>
      <w:pPr>
        <w:jc w:val="both"/>
        <w:ind w:left="4" w:firstLine="644"/>
        <w:spacing w:after="0" w:line="266" w:lineRule="auto"/>
        <w:tabs>
          <w:tab w:leader="none" w:pos="89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2" w:lineRule="auto"/>
        <w:tabs>
          <w:tab w:leader="none" w:pos="17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spacing w:after="0" w:line="19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1" w:lineRule="auto"/>
        <w:tabs>
          <w:tab w:leader="none" w:pos="92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278765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75" w:name="page76"/>
    <w:bookmarkEnd w:id="75"/>
    <w:p>
      <w:pPr>
        <w:jc w:val="both"/>
        <w:ind w:firstLine="644"/>
        <w:spacing w:after="0" w:line="252" w:lineRule="auto"/>
        <w:tabs>
          <w:tab w:leader="none" w:pos="91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Holders</w:t>
      </w:r>
      <w:r>
        <w:rPr>
          <w:rFonts w:ascii="Times New Roman" w:cs="Times New Roman" w:eastAsia="Times New Roman" w:hAnsi="Times New Roman"/>
          <w:sz w:val="18"/>
          <w:szCs w:val="18"/>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194" w:lineRule="exact"/>
        <w:rPr>
          <w:rFonts w:ascii="Times New Roman" w:cs="Times New Roman" w:eastAsia="Times New Roman" w:hAnsi="Times New Roman"/>
          <w:sz w:val="18"/>
          <w:szCs w:val="18"/>
          <w:color w:val="auto"/>
        </w:rPr>
      </w:pPr>
    </w:p>
    <w:p>
      <w:pPr>
        <w:jc w:val="both"/>
        <w:ind w:firstLine="644"/>
        <w:spacing w:after="0" w:line="255" w:lineRule="auto"/>
        <w:tabs>
          <w:tab w:leader="none" w:pos="90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such Indemnified Party shall promptly notify the Person from whom indemnity is sought (the “</w:t>
      </w:r>
      <w:r>
        <w:rPr>
          <w:rFonts w:ascii="Times New Roman" w:cs="Times New Roman" w:eastAsia="Times New Roman" w:hAnsi="Times New Roman"/>
          <w:sz w:val="18"/>
          <w:szCs w:val="18"/>
          <w:u w:val="single" w:color="auto"/>
          <w:color w:val="auto"/>
        </w:rPr>
        <w:t>Indemnifying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267970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76" w:name="page77"/>
    <w:bookmarkEnd w:id="76"/>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87" w:lineRule="exact"/>
        <w:rPr>
          <w:sz w:val="20"/>
          <w:szCs w:val="20"/>
          <w:color w:val="auto"/>
        </w:rPr>
      </w:pPr>
    </w:p>
    <w:p>
      <w:pPr>
        <w:jc w:val="both"/>
        <w:ind w:left="4" w:firstLine="644"/>
        <w:spacing w:after="0" w:line="253" w:lineRule="auto"/>
        <w:tabs>
          <w:tab w:leader="none" w:pos="93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92"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87"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have to the Indemnified Parties.</w:t>
      </w:r>
    </w:p>
    <w:p>
      <w:pPr>
        <w:spacing w:after="0" w:line="162" w:lineRule="exact"/>
        <w:rPr>
          <w:sz w:val="20"/>
          <w:szCs w:val="20"/>
          <w:color w:val="auto"/>
        </w:rPr>
      </w:pPr>
    </w:p>
    <w:p>
      <w:pPr>
        <w:ind w:left="184" w:hanging="184"/>
        <w:spacing w:after="0"/>
        <w:tabs>
          <w:tab w:leader="none" w:pos="18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56" w:firstLine="656"/>
        <w:spacing w:after="0" w:line="256" w:lineRule="auto"/>
        <w:tabs>
          <w:tab w:leader="none" w:pos="2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267970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77" w:name="page78"/>
    <w:bookmarkEnd w:id="77"/>
    <w:p>
      <w:pPr>
        <w:jc w:val="both"/>
        <w:ind w:left="-656" w:firstLine="656"/>
        <w:spacing w:after="0" w:line="256" w:lineRule="auto"/>
        <w:tabs>
          <w:tab w:leader="none" w:pos="24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Discontinued Disposition</w:t>
      </w:r>
      <w:r>
        <w:rPr>
          <w:rFonts w:ascii="Times New Roman" w:cs="Times New Roman" w:eastAsia="Times New Roman" w:hAnsi="Times New Roman"/>
          <w:sz w:val="18"/>
          <w:szCs w:val="18"/>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applicable Prospectus (as it may have been supplemented or amended) may be resumed. The Company will use its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5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provisions of this sentence may not be amended, modified, or supplemented except in accordance with the provisions of the first sentence of this Section 6(d). No consideration shall be offered or paid to any Person to amend or consent to a waiver or modification of any provision of this Agreement unless the same consideration also is offered to all of the parties to this Agreement.</w:t>
      </w:r>
    </w:p>
    <w:p>
      <w:pPr>
        <w:spacing w:after="0" w:line="187" w:lineRule="exact"/>
        <w:rPr>
          <w:rFonts w:ascii="Times New Roman" w:cs="Times New Roman" w:eastAsia="Times New Roman" w:hAnsi="Times New Roman"/>
          <w:sz w:val="18"/>
          <w:szCs w:val="18"/>
          <w:color w:val="auto"/>
        </w:rPr>
      </w:pPr>
    </w:p>
    <w:p>
      <w:pPr>
        <w:ind w:left="-656" w:right="20" w:firstLine="656"/>
        <w:spacing w:after="0" w:line="282" w:lineRule="auto"/>
        <w:tabs>
          <w:tab w:leader="none" w:pos="2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 set forth in the Purchase Agreement.</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2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Counterparts</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“.pdf” signature page were an original thereof.</w:t>
      </w:r>
    </w:p>
    <w:p>
      <w:pPr>
        <w:spacing w:after="0" w:line="187" w:lineRule="exact"/>
        <w:rPr>
          <w:rFonts w:ascii="Times New Roman" w:cs="Times New Roman" w:eastAsia="Times New Roman" w:hAnsi="Times New Roman"/>
          <w:sz w:val="18"/>
          <w:szCs w:val="18"/>
          <w:color w:val="auto"/>
        </w:rPr>
      </w:pPr>
    </w:p>
    <w:p>
      <w:pPr>
        <w:ind w:left="-656" w:right="20" w:firstLine="656"/>
        <w:spacing w:after="0" w:line="282" w:lineRule="auto"/>
        <w:tabs>
          <w:tab w:leader="none" w:pos="24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other remedies provided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291465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78" w:name="page79"/>
    <w:bookmarkEnd w:id="78"/>
    <w:p>
      <w:pPr>
        <w:jc w:val="both"/>
        <w:ind w:firstLine="656"/>
        <w:spacing w:after="0" w:line="256" w:lineRule="auto"/>
        <w:tabs>
          <w:tab w:leader="none" w:pos="86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86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only, do not constitute a part of the Agreement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94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Nature of Holders’ Obligations and Rights</w:t>
      </w:r>
      <w:r>
        <w:rPr>
          <w:rFonts w:ascii="Times New Roman" w:cs="Times New Roman" w:eastAsia="Times New Roman" w:hAnsi="Times New Roman"/>
          <w:sz w:val="18"/>
          <w:szCs w:val="18"/>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executed this Registration Rights Agreement as of the date first written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8890</wp:posOffset>
            </wp:positionV>
            <wp:extent cx="32061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Eric Olson</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CEO</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[SIGNATURE PAGE OF HOLDERS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80" w:name="page81"/>
    <w:bookmarkEnd w:id="80"/>
    <w:p>
      <w:pPr>
        <w:jc w:val="right"/>
        <w:ind w:right="2559"/>
        <w:spacing w:after="0"/>
        <w:rPr>
          <w:sz w:val="20"/>
          <w:szCs w:val="20"/>
          <w:color w:val="auto"/>
        </w:rPr>
      </w:pPr>
      <w:r>
        <w:rPr>
          <w:rFonts w:ascii="Times New Roman" w:cs="Times New Roman" w:eastAsia="Times New Roman" w:hAnsi="Times New Roman"/>
          <w:sz w:val="18"/>
          <w:szCs w:val="18"/>
          <w:color w:val="auto"/>
        </w:rPr>
        <w:t>[SIGNATURE PAGE OF HOLDERS TO SINT RRA]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 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Holder</w:t>
      </w:r>
      <w:r>
        <w:rPr>
          <w:rFonts w:ascii="Times New Roman" w:cs="Times New Roman" w:eastAsia="Times New Roman" w:hAnsi="Times New Roman"/>
          <w:sz w:val="18"/>
          <w:szCs w:val="18"/>
          <w:color w:val="auto"/>
        </w:rPr>
        <w:t>: 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Plan of Distribution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Selling Stockholder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of the securities and any of their pledgees, assignees and successors-in-interest may, from time to time, sell any or all of their securities covered hereby on the Nasdaq Capital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0"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if available, rather than under this prospectus.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2" w:name="page83"/>
    <w:bookmarkEnd w:id="8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common stock being offered by the selling shareholders are those previously issued to the selling shareholders, and those issuable to the selling shareholders, upon exercise of the warrants. For additional information regarding the issuances of those shares of common stock and warrants, see “Private Placement of Shares of Common Stock and Warrants” above. We are registering the shares of common stock in order to permit the selling shareholders to offer the shares for resale from time to time. Except for the ownership of the shares of common stock and the warrants, the selling shareholders have not had any material relationship with us within the past three years.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 below lists the selling shareholders and other information regarding the beneficial ownership of the shares of common stock by each of the selling shareholders. The second column lists the number of shares of common stock beneficially owned by each selling shareholder, based on its ownership of the shares of common stock and warrants, as of ________, 2026, assuming exercise of the warrants held by the selling shareholders on that date, without regard to any limitations on exercises.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shareholders.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shareholders, this prospectus generally covers the resale of the sum of (i) the number of shares of common stock issued to the selling shareholders in the “Private Placement of Shares of Common Stock and Warrants” described above and (ii) the maximum number of shares of common stock issuable upon exercise of the related warrants, determined as if the outstanding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 The fourth column assumes the sale of all of the shares offered by the selling shareholders pursuant to this prospectus.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warrants, a selling shareholder may not exercise the warrants to the extent such exercise would cause such selling shareholder,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exercise of such warrants which have not been exercised. The number of shares in the second and fourth columns do not reflect this limitation. The selling shareholders may sell all, some or none of their shares in this offering. See “Plan of Distribution.”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3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Maximum Number of shares of</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r>
      <w:tr>
        <w:trPr>
          <w:trHeight w:val="216"/>
        </w:trPr>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Name of Selling</w:t>
            </w:r>
          </w:p>
        </w:tc>
        <w:tc>
          <w:tcPr>
            <w:tcW w:w="2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Common Stock Owned</w:t>
            </w:r>
          </w:p>
        </w:tc>
        <w:tc>
          <w:tcPr>
            <w:tcW w:w="3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 Stock to be Sold</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Owned</w:t>
            </w:r>
          </w:p>
        </w:tc>
      </w:tr>
      <w:tr>
        <w:trPr>
          <w:trHeight w:val="238"/>
        </w:trPr>
        <w:tc>
          <w:tcPr>
            <w:tcW w:w="2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2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Prior to Offering</w:t>
            </w:r>
          </w:p>
        </w:tc>
        <w:tc>
          <w:tcPr>
            <w:tcW w:w="3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Pursuant to this Prospectus</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After Offering</w:t>
            </w:r>
          </w:p>
        </w:tc>
      </w:tr>
      <w:tr>
        <w:trPr>
          <w:trHeight w:val="1289"/>
        </w:trPr>
        <w:tc>
          <w:tcPr>
            <w:tcW w:w="26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 Notice and Questionnaire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beneficial owner of common stock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of SINTX Technologies,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 that the Company has filed or intends to file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and resale under Rule 415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Registrable Securities, in accordance with the terms of the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undersigned beneficial owner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of Registrable Securities hereby elects to include the Registrable Securities owned by it in the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Name.</w:t>
      </w:r>
    </w:p>
    <w:p>
      <w:pPr>
        <w:spacing w:after="0" w:line="229" w:lineRule="exact"/>
        <w:rPr>
          <w:sz w:val="20"/>
          <w:szCs w:val="20"/>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Selling Stockholder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-1136650</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Address for Notices to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__________________________________________________________________________________________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Person:___________________________________________________________________________________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3. Broker-Dealer Status: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Are you a broker-dealer?</w:t>
      </w:r>
    </w:p>
    <w:p>
      <w:pPr>
        <w:spacing w:after="0" w:line="184" w:lineRule="exact"/>
        <w:rPr>
          <w:sz w:val="20"/>
          <w:szCs w:val="20"/>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left="5160" w:right="1200" w:hanging="5152"/>
        <w:spacing w:after="0" w:line="347" w:lineRule="exact"/>
        <w:tabs>
          <w:tab w:leader="none" w:pos="33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“yes” to Section 3(a), did you receive your Registrable Securities as compensation for investment banking services to the Company?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If “no” to Section 3(b), the Commission’s staff has indicated that you should be identified as an underwriter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Are you an affiliate of a broker-dealer?</w:t>
      </w:r>
    </w:p>
    <w:p>
      <w:pPr>
        <w:spacing w:after="0" w:line="184" w:lineRule="exact"/>
        <w:rPr>
          <w:sz w:val="20"/>
          <w:szCs w:val="20"/>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left="340" w:hanging="332"/>
        <w:spacing w:after="0" w:line="266"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35" w:lineRule="exact"/>
        <w:rPr>
          <w:sz w:val="20"/>
          <w:szCs w:val="20"/>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If “no” to Section 3(d), the Commission’s staff has indicated that you should be identified as an underwriter in the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Beneficial Ownership of Securities of the Company Owned by the Selling Stockholder.</w:t>
      </w:r>
    </w:p>
    <w:p>
      <w:pPr>
        <w:spacing w:after="0" w:line="227"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Type and Amount of other securities beneficially owned by the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154305</wp:posOffset>
            </wp:positionV>
            <wp:extent cx="6926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300355</wp:posOffset>
            </wp:positionV>
            <wp:extent cx="6926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Relationships with the Company:</w:t>
      </w:r>
    </w:p>
    <w:p>
      <w:pPr>
        <w:spacing w:after="0" w:line="22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437515</wp:posOffset>
            </wp:positionV>
            <wp:extent cx="3566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291465</wp:posOffset>
            </wp:positionV>
            <wp:extent cx="3566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6" w:name="page87"/>
    <w:bookmarkEnd w:id="8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Beneficial Owner: ________________________</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64122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ind w:left="920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906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429000" cy="436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0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SINTX Technologies Announces Raise of Approximately $5.0 Million of Capital, Including a $4.5 Million Private Placement Priced At-the-Market Under Nasdaq Rules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SALT LAKE CITY, Utah – June 3, 2026 – SINTX Technologies, Inc. </w:t>
      </w:r>
      <w:r>
        <w:rPr>
          <w:rFonts w:ascii="Times New Roman" w:cs="Times New Roman" w:eastAsia="Times New Roman" w:hAnsi="Times New Roman"/>
          <w:sz w:val="18"/>
          <w:szCs w:val="18"/>
          <w:color w:val="auto"/>
        </w:rPr>
        <w:t>(NASDAQ: SINT) (“SINTX” or the “Company”), an advanced biomaterials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focused on developing silicon nitride technologies for medical applications, today announced that it has entered into securities purchase agreements with institutional and accredited investors pursuant to which the Company agreed to issue and sell an aggregate of 1,882,845 shares of common stock in a private placement priced at-the-market under Nasdaq rules.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Company issued to the investors (i) Class A Common Stock Purchase Warrants to purchase up to an aggregate of 1,882,845 shares of common stock and (ii) Class B Common Stock Purchase Warrants to purchase up to an aggregate of 1,882,845 shares of common stock. The warrants are exercisable immediately at an exercise price of $2.14 per share. The Class A Warrants will expire five years from the date of issuance and the Class B Warrants will expire two years from the date of issuance. The combined effective offering price for each share of common stock and accompanying warrants to be issued is $2.39. The offering is expected to close on or about June 3, 2026, subject to satisfaction of customary closing conditions.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gross proceeds to the Company from the private placement were $4.5 million before deducting fees and other offering expenses. Together with a previously completed $500,000 purchase of the Company’s common stock through its at-the-market offering program, the Company has raised approximately $5.0 million of equity capital in recent weeks. The Company intends to use the net proceeds from the offering for general corporate purposes, including working capital, commercialization activities, business development initiatives and other strategic opportunities.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to complete this financing and appreciate the strong support from well known Life Science investors,” said Eric Olson, Chairman of the Board and Chief Executive Officer of SINTX Technologies. “We believe this transaction strengthens our balance sheet and enhances our ability to pursue our strategic objectives while continuing to advance the development and commercialization of our silicon nitride technology platform.”</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shares of common stock and warrants described above were offered in a private placement under Section 4(a)(2) of the Securities Act of 1933, as amended (the “Act”) and Regulation D promulgated thereunder and, have not been registered under the Act or applicable state securities laws. Accordingly, the shares of common stock, the warrants and the shares of common stock underlying the warrants may not be offered or sold in the United States absent registration with the Securities and Exchange Commission (“SEC”) or an applicable exemption from such registration requirements. The securities were offered only to accredited investors.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a registration rights agreement, the Company has agreed to file one or more registration statements with the SEC covering the resale of the shares of common stock issued in the offering and the shares of common stock issuable upon exercise of the Class A Warrants and Class B Warrants.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on SINTX Technologies or its biomaterial platforms, visit </w:t>
      </w:r>
      <w:r>
        <w:rPr>
          <w:rFonts w:ascii="Times New Roman" w:cs="Times New Roman" w:eastAsia="Times New Roman" w:hAnsi="Times New Roman"/>
          <w:sz w:val="18"/>
          <w:szCs w:val="18"/>
          <w:u w:val="single" w:color="auto"/>
          <w:color w:val="auto"/>
        </w:rPr>
        <w:t>www.sintx.com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About SINTX</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Headquartered in Salt Lake City, Utah, SINTX Technologies, Inc. (NASDAQ: SINT) is an advanced ceramics company that develops, manufactures, and commercializes silicon nitride biomaterials, composites, devices, and related technologies for medical and other high-value applications. With thousands of medical devices implanted since 2008 and nearly two decades of peer-reviewed research, SINTX has established itself as a leader in high-performance biomaterials that enhance clinical outcomes and patient safety. Supported by a strong patent portfolio, U.S.-based manufacturing, and strategic industry partnerships, the company continues to expand its technology platform through innovation and market diversification, including the recently FDA-cleared SINAPTIC Foot &amp; Ankle Implant System for reconstructive surgery.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that involve risks and uncertainties. Forward-looking statements can be identified by words such as “anticipate,” “believe,” “continue,” “could,” “estimate,” “expect,” “intend,” “may,” “plan,” “potential,” “predict,” “project,” “should,” “target,” “will,” “would” and similar expressions. These forward-looking statements include, without limitation, statements regarding the anticipated use of proceeds from the private placement, the Company’s ability to regain and maintain compliance with Nasdaq continued listing requirements, the filing and effectiveness of one or more registration statements covering the resale of securities issued in the private placement, future commercialization opportunities, development of new products and technologies, strategic initiatives, operational plans and future business prospects. Forward-looking statements are based on management’s current expectations, assumptions and projections and are not guarantees of future performance. Actual results may differ materially from those expressed or implied in these forward-looking statements due to a variety of risks and uncertainties, including, without limitation, risks related to market and economic conditions, the Company’s ability to maintain compliance with Nasdaq continued listing standards, the Company’s ability to obtain additional financing when needed, risks associated with commercialization of the Company’s technologies and products, the development of new product opportunities, regulatory developments, competition, changes in customer demand and other risks and uncertainties described in the Company’s filings with the Securities and Exchange Commission (“SEC”), including the Risk Factors section of the Company’s Annual Report on Form 10-K filed with the SEC on March 20, 2026, and subsequent filings with the SEC. Readers are cautioned not to place undue reliance on forward-looking statements, which speak only as of the date they are made. Except as required by law, the Company undertakes no obligation to publicly update or revise any forward-looking statements to reflect events or circumstances after the date of this press release.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SINTX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ind w:left="200" w:hanging="192"/>
        <w:spacing w:after="0"/>
        <w:tabs>
          <w:tab w:leader="none" w:pos="2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801-839-3502</w:t>
      </w:r>
    </w:p>
    <w:p>
      <w:pPr>
        <w:spacing w:after="0" w:line="9"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IR@sintx.com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1"/>
      <w:numFmt w:val="bullet"/>
      <w:start w:val="1"/>
    </w:lvl>
  </w:abstractNum>
  <w:abstractNum w:abstractNumId="2">
    <w:nsid w:val="1D4ED43B"/>
    <w:multiLevelType w:val="hybridMultilevel"/>
    <w:lvl w:ilvl="0">
      <w:lvlJc w:val="left"/>
      <w:lvlText w:val="%1)"/>
      <w:numFmt w:val="lowerLetter"/>
      <w:start w:val="1"/>
    </w:lvl>
  </w:abstractNum>
  <w:abstractNum w:abstractNumId="3">
    <w:nsid w:val="725A06FB"/>
    <w:multiLevelType w:val="hybridMultilevel"/>
    <w:lvl w:ilvl="0">
      <w:lvlJc w:val="left"/>
      <w:lvlText w:val="%1)"/>
      <w:numFmt w:val="lowerLetter"/>
      <w:start w:val="4"/>
    </w:lvl>
    <w:lvl w:ilvl="1">
      <w:lvlJc w:val="left"/>
      <w:lvlText w:val="%2."/>
      <w:numFmt w:val="lowerRoman"/>
      <w:start w:val="1"/>
    </w:lvl>
  </w:abstractNum>
  <w:abstractNum w:abstractNumId="4">
    <w:nsid w:val="2CD89A32"/>
    <w:multiLevelType w:val="hybridMultilevel"/>
    <w:lvl w:ilvl="0">
      <w:lvlJc w:val="left"/>
      <w:lvlText w:val="%1."/>
      <w:numFmt w:val="lowerRoman"/>
      <w:start w:val="2"/>
    </w:lvl>
  </w:abstractNum>
  <w:abstractNum w:abstractNumId="5">
    <w:nsid w:val="57E4CCAF"/>
    <w:multiLevelType w:val="hybridMultilevel"/>
    <w:lvl w:ilvl="0">
      <w:lvlJc w:val="left"/>
      <w:lvlText w:val="%1)"/>
      <w:numFmt w:val="lowerLetter"/>
      <w:start w:val="5"/>
    </w:lvl>
  </w:abstractNum>
  <w:abstractNum w:abstractNumId="6">
    <w:nsid w:val="7A6D8D3C"/>
    <w:multiLevelType w:val="hybridMultilevel"/>
    <w:lvl w:ilvl="0">
      <w:lvlJc w:val="left"/>
      <w:lvlText w:val="%1)"/>
      <w:numFmt w:val="lowerLetter"/>
      <w:start w:val="1"/>
    </w:lvl>
  </w:abstractNum>
  <w:abstractNum w:abstractNumId="7">
    <w:nsid w:val="4B588F54"/>
    <w:multiLevelType w:val="hybridMultilevel"/>
    <w:lvl w:ilvl="0">
      <w:lvlJc w:val="left"/>
      <w:lvlText w:val="%1)"/>
      <w:numFmt w:val="lowerLetter"/>
      <w:start w:val="2"/>
    </w:lvl>
  </w:abstractNum>
  <w:abstractNum w:abstractNumId="8">
    <w:nsid w:val="542289EC"/>
    <w:multiLevelType w:val="hybridMultilevel"/>
    <w:lvl w:ilvl="0">
      <w:lvlJc w:val="left"/>
      <w:lvlText w:val="%1)"/>
      <w:numFmt w:val="lowerLetter"/>
      <w:start w:val="4"/>
    </w:lvl>
  </w:abstractNum>
  <w:abstractNum w:abstractNumId="9">
    <w:nsid w:val="6DE91B18"/>
    <w:multiLevelType w:val="hybridMultilevel"/>
    <w:lvl w:ilvl="0">
      <w:lvlJc w:val="left"/>
      <w:lvlText w:val="%1)"/>
      <w:numFmt w:val="lowerLetter"/>
      <w:start w:val="6"/>
    </w:lvl>
    <w:lvl w:ilvl="1">
      <w:lvlJc w:val="left"/>
      <w:lvlText w:val="%2."/>
      <w:numFmt w:val="lowerRoman"/>
      <w:start w:val="1"/>
    </w:lvl>
  </w:abstractNum>
  <w:abstractNum w:abstractNumId="10">
    <w:nsid w:val="38437FDB"/>
    <w:multiLevelType w:val="hybridMultilevel"/>
    <w:lvl w:ilvl="0">
      <w:lvlJc w:val="left"/>
      <w:lvlText w:val="%1."/>
      <w:numFmt w:val="lowerRoman"/>
      <w:start w:val="2"/>
    </w:lvl>
  </w:abstractNum>
  <w:abstractNum w:abstractNumId="11">
    <w:nsid w:val="7644A45C"/>
    <w:multiLevelType w:val="hybridMultilevel"/>
    <w:lvl w:ilvl="0">
      <w:lvlJc w:val="left"/>
      <w:lvlText w:val="%1)"/>
      <w:numFmt w:val="lowerLetter"/>
      <w:start w:val="1"/>
    </w:lvl>
  </w:abstractNum>
  <w:abstractNum w:abstractNumId="12">
    <w:nsid w:val="32FFF902"/>
    <w:multiLevelType w:val="hybridMultilevel"/>
    <w:lvl w:ilvl="0">
      <w:lvlJc w:val="left"/>
      <w:lvlText w:val="%1)"/>
      <w:numFmt w:val="lowerLetter"/>
      <w:start w:val="2"/>
    </w:lvl>
  </w:abstractNum>
  <w:abstractNum w:abstractNumId="13">
    <w:nsid w:val="684A481A"/>
    <w:multiLevelType w:val="hybridMultilevel"/>
    <w:lvl w:ilvl="0">
      <w:lvlJc w:val="left"/>
      <w:lvlText w:val="%1)"/>
      <w:numFmt w:val="lowerLetter"/>
      <w:start w:val="1"/>
    </w:lvl>
  </w:abstractNum>
  <w:abstractNum w:abstractNumId="14">
    <w:nsid w:val="579478FE"/>
    <w:multiLevelType w:val="hybridMultilevel"/>
    <w:lvl w:ilvl="0">
      <w:lvlJc w:val="left"/>
      <w:lvlText w:val="%1)"/>
      <w:numFmt w:val="lowerLetter"/>
      <w:start w:val="5"/>
    </w:lvl>
  </w:abstractNum>
  <w:abstractNum w:abstractNumId="15">
    <w:nsid w:val="749ABB43"/>
    <w:multiLevelType w:val="hybridMultilevel"/>
    <w:lvl w:ilvl="0">
      <w:lvlJc w:val="left"/>
      <w:lvlText w:val="%1)"/>
      <w:numFmt w:val="lowerLetter"/>
      <w:start w:val="9"/>
    </w:lvl>
  </w:abstractNum>
  <w:abstractNum w:abstractNumId="16">
    <w:nsid w:val="3DC240FB"/>
    <w:multiLevelType w:val="hybridMultilevel"/>
    <w:lvl w:ilvl="0">
      <w:lvlJc w:val="left"/>
      <w:lvlText w:val="(%1)"/>
      <w:numFmt w:val="decimal"/>
      <w:start w:val="1"/>
    </w:lvl>
  </w:abstractNum>
  <w:abstractNum w:abstractNumId="17">
    <w:nsid w:val="1BA026FA"/>
    <w:multiLevelType w:val="hybridMultilevel"/>
    <w:lvl w:ilvl="0">
      <w:lvlJc w:val="left"/>
      <w:lvlText w:val="(%1)"/>
      <w:numFmt w:val="decimal"/>
      <w:start w:val="3"/>
    </w:lvl>
  </w:abstractNum>
  <w:abstractNum w:abstractNumId="18">
    <w:nsid w:val="79A1DEAA"/>
    <w:multiLevelType w:val="hybridMultilevel"/>
    <w:lvl w:ilvl="0">
      <w:lvlJc w:val="left"/>
      <w:lvlText w:val="(%1)"/>
      <w:numFmt w:val="decimal"/>
      <w:start w:val="4"/>
    </w:lvl>
  </w:abstractNum>
  <w:abstractNum w:abstractNumId="19">
    <w:nsid w:val="75C6C33A"/>
    <w:multiLevelType w:val="hybridMultilevel"/>
    <w:lvl w:ilvl="0">
      <w:lvlJc w:val="left"/>
      <w:lvlText w:val="%1)"/>
      <w:numFmt w:val="lowerLetter"/>
      <w:start w:val="1"/>
    </w:lvl>
  </w:abstractNum>
  <w:abstractNum w:abstractNumId="20">
    <w:nsid w:val="12E685FB"/>
    <w:multiLevelType w:val="hybridMultilevel"/>
    <w:lvl w:ilvl="0">
      <w:lvlJc w:val="left"/>
      <w:lvlText w:val="%1)"/>
      <w:numFmt w:val="lowerLetter"/>
      <w:start w:val="4"/>
    </w:lvl>
    <w:lvl w:ilvl="1">
      <w:lvlJc w:val="left"/>
      <w:lvlText w:val="%2."/>
      <w:numFmt w:val="lowerRoman"/>
      <w:start w:val="1"/>
    </w:lvl>
  </w:abstractNum>
  <w:abstractNum w:abstractNumId="21">
    <w:nsid w:val="70C6A529"/>
    <w:multiLevelType w:val="hybridMultilevel"/>
    <w:lvl w:ilvl="0">
      <w:lvlJc w:val="left"/>
      <w:lvlText w:val="%1."/>
      <w:numFmt w:val="lowerRoman"/>
      <w:start w:val="2"/>
    </w:lvl>
    <w:lvl w:ilvl="1">
      <w:lvlJc w:val="left"/>
      <w:lvlText w:val="%2."/>
      <w:numFmt w:val="lowerRoman"/>
      <w:start w:val="3"/>
    </w:lvl>
  </w:abstractNum>
  <w:abstractNum w:abstractNumId="22">
    <w:nsid w:val="520EEDD1"/>
    <w:multiLevelType w:val="hybridMultilevel"/>
    <w:lvl w:ilvl="0">
      <w:lvlJc w:val="left"/>
      <w:lvlText w:val="%1)"/>
      <w:numFmt w:val="lowerLetter"/>
      <w:start w:val="5"/>
    </w:lvl>
  </w:abstractNum>
  <w:abstractNum w:abstractNumId="23">
    <w:nsid w:val="374A3FE6"/>
    <w:multiLevelType w:val="hybridMultilevel"/>
    <w:lvl w:ilvl="0">
      <w:lvlJc w:val="left"/>
      <w:lvlText w:val="%1)"/>
      <w:numFmt w:val="lowerLetter"/>
      <w:start w:val="1"/>
    </w:lvl>
  </w:abstractNum>
  <w:abstractNum w:abstractNumId="24">
    <w:nsid w:val="4F4EF005"/>
    <w:multiLevelType w:val="hybridMultilevel"/>
    <w:lvl w:ilvl="0">
      <w:lvlJc w:val="left"/>
      <w:lvlText w:val="%1)"/>
      <w:numFmt w:val="lowerLetter"/>
      <w:start w:val="4"/>
    </w:lvl>
  </w:abstractNum>
  <w:abstractNum w:abstractNumId="25">
    <w:nsid w:val="23F9C13C"/>
    <w:multiLevelType w:val="hybridMultilevel"/>
    <w:lvl w:ilvl="0">
      <w:lvlJc w:val="left"/>
      <w:lvlText w:val="%1)"/>
      <w:numFmt w:val="lowerLetter"/>
      <w:start w:val="6"/>
    </w:lvl>
    <w:lvl w:ilvl="1">
      <w:lvlJc w:val="left"/>
      <w:lvlText w:val="%2."/>
      <w:numFmt w:val="lowerRoman"/>
      <w:start w:val="1"/>
    </w:lvl>
  </w:abstractNum>
  <w:abstractNum w:abstractNumId="26">
    <w:nsid w:val="649BB77C"/>
    <w:multiLevelType w:val="hybridMultilevel"/>
    <w:lvl w:ilvl="0">
      <w:lvlJc w:val="left"/>
      <w:lvlText w:val="%1."/>
      <w:numFmt w:val="lowerRoman"/>
      <w:start w:val="2"/>
    </w:lvl>
  </w:abstractNum>
  <w:abstractNum w:abstractNumId="27">
    <w:nsid w:val="275AC794"/>
    <w:multiLevelType w:val="hybridMultilevel"/>
    <w:lvl w:ilvl="0">
      <w:lvlJc w:val="left"/>
      <w:lvlText w:val="%1."/>
      <w:numFmt w:val="lowerRoman"/>
      <w:start w:val="4"/>
    </w:lvl>
  </w:abstractNum>
  <w:abstractNum w:abstractNumId="28">
    <w:nsid w:val="39386575"/>
    <w:multiLevelType w:val="hybridMultilevel"/>
    <w:lvl w:ilvl="0">
      <w:lvlJc w:val="left"/>
      <w:lvlText w:val="%1"/>
      <w:numFmt w:val="lowerLetter"/>
      <w:start w:val="1"/>
    </w:lvl>
    <w:lvl w:ilvl="1">
      <w:lvlJc w:val="left"/>
      <w:lvlText w:val="%2."/>
      <w:numFmt w:val="lowerRoman"/>
      <w:start w:val="8"/>
    </w:lvl>
  </w:abstractNum>
  <w:abstractNum w:abstractNumId="29">
    <w:nsid w:val="1CF10FD8"/>
    <w:multiLevelType w:val="hybridMultilevel"/>
    <w:lvl w:ilvl="0">
      <w:lvlJc w:val="left"/>
      <w:lvlText w:val="%1)"/>
      <w:numFmt w:val="lowerLetter"/>
      <w:start w:val="8"/>
    </w:lvl>
    <w:lvl w:ilvl="1">
      <w:lvlJc w:val="left"/>
      <w:lvlText w:val="%2."/>
      <w:numFmt w:val="lowerRoman"/>
      <w:start w:val="1"/>
    </w:lvl>
  </w:abstractNum>
  <w:abstractNum w:abstractNumId="30">
    <w:nsid w:val="180115BE"/>
    <w:multiLevelType w:val="hybridMultilevel"/>
    <w:lvl w:ilvl="0">
      <w:lvlJc w:val="left"/>
      <w:lvlText w:val="%1."/>
      <w:numFmt w:val="lowerRoman"/>
      <w:start w:val="2"/>
    </w:lvl>
  </w:abstractNum>
  <w:abstractNum w:abstractNumId="31">
    <w:nsid w:val="235BA861"/>
    <w:multiLevelType w:val="hybridMultilevel"/>
    <w:lvl w:ilvl="0">
      <w:lvlJc w:val="left"/>
      <w:lvlText w:val="%1)"/>
      <w:numFmt w:val="lowerLetter"/>
      <w:start w:val="1"/>
    </w:lvl>
  </w:abstractNum>
  <w:abstractNum w:abstractNumId="32">
    <w:nsid w:val="47398C89"/>
    <w:multiLevelType w:val="hybridMultilevel"/>
    <w:lvl w:ilvl="0">
      <w:lvlJc w:val="left"/>
      <w:lvlText w:val="%1)"/>
      <w:numFmt w:val="lowerLetter"/>
      <w:start w:val="2"/>
    </w:lvl>
  </w:abstractNum>
  <w:abstractNum w:abstractNumId="33">
    <w:nsid w:val="354FE9F9"/>
    <w:multiLevelType w:val="hybridMultilevel"/>
    <w:lvl w:ilvl="0">
      <w:lvlJc w:val="left"/>
      <w:lvlText w:val="%1)"/>
      <w:numFmt w:val="lowerLetter"/>
      <w:start w:val="1"/>
    </w:lvl>
  </w:abstractNum>
  <w:abstractNum w:abstractNumId="34">
    <w:nsid w:val="15B5AF5C"/>
    <w:multiLevelType w:val="hybridMultilevel"/>
    <w:lvl w:ilvl="0">
      <w:lvlJc w:val="left"/>
      <w:lvlText w:val="%1)"/>
      <w:numFmt w:val="lowerLetter"/>
      <w:start w:val="3"/>
    </w:lvl>
  </w:abstractNum>
  <w:abstractNum w:abstractNumId="35">
    <w:nsid w:val="741226BB"/>
    <w:multiLevelType w:val="hybridMultilevel"/>
    <w:lvl w:ilvl="0">
      <w:lvlJc w:val="left"/>
      <w:lvlText w:val="%1)"/>
      <w:numFmt w:val="lowerLetter"/>
      <w:start w:val="5"/>
    </w:lvl>
  </w:abstractNum>
  <w:abstractNum w:abstractNumId="36">
    <w:nsid w:val="D34B6A8"/>
    <w:multiLevelType w:val="hybridMultilevel"/>
    <w:lvl w:ilvl="0">
      <w:lvlJc w:val="left"/>
      <w:lvlText w:val="(%1)"/>
      <w:numFmt w:val="decimal"/>
      <w:start w:val="1"/>
    </w:lvl>
  </w:abstractNum>
  <w:abstractNum w:abstractNumId="37">
    <w:nsid w:val="10233C99"/>
    <w:multiLevelType w:val="hybridMultilevel"/>
    <w:lvl w:ilvl="0">
      <w:lvlJc w:val="left"/>
      <w:lvlText w:val="(%1)"/>
      <w:numFmt w:val="decimal"/>
      <w:start w:val="3"/>
    </w:lvl>
  </w:abstractNum>
  <w:abstractNum w:abstractNumId="38">
    <w:nsid w:val="3F6AB60F"/>
    <w:multiLevelType w:val="hybridMultilevel"/>
    <w:lvl w:ilvl="0">
      <w:lvlJc w:val="left"/>
      <w:lvlText w:val="(%1)"/>
      <w:numFmt w:val="decimal"/>
      <w:start w:val="4"/>
    </w:lvl>
  </w:abstractNum>
  <w:abstractNum w:abstractNumId="39">
    <w:nsid w:val="61574095"/>
    <w:multiLevelType w:val="hybridMultilevel"/>
    <w:lvl w:ilvl="0">
      <w:lvlJc w:val="left"/>
      <w:lvlText w:val="(%1)"/>
      <w:numFmt w:val="lowerLetter"/>
      <w:start w:val="2"/>
    </w:lvl>
  </w:abstractNum>
  <w:abstractNum w:abstractNumId="40">
    <w:nsid w:val="7E0C57B1"/>
    <w:multiLevelType w:val="hybridMultilevel"/>
    <w:lvl w:ilvl="0">
      <w:lvlJc w:val="left"/>
      <w:lvlText w:val="(%1)"/>
      <w:numFmt w:val="lowerLetter"/>
      <w:start w:val="4"/>
    </w:lvl>
  </w:abstractNum>
  <w:abstractNum w:abstractNumId="41">
    <w:nsid w:val="77AE35EB"/>
    <w:multiLevelType w:val="hybridMultilevel"/>
    <w:lvl w:ilvl="0">
      <w:lvlJc w:val="left"/>
      <w:lvlText w:val="(%1)"/>
      <w:numFmt w:val="lowerLetter"/>
      <w:start w:val="1"/>
    </w:lvl>
    <w:lvl w:ilvl="1">
      <w:lvlJc w:val="left"/>
      <w:lvlText w:val="(%2)"/>
      <w:numFmt w:val="lowerRoman"/>
      <w:start w:val="1"/>
    </w:lvl>
  </w:abstractNum>
  <w:abstractNum w:abstractNumId="42">
    <w:nsid w:val="579BE4F1"/>
    <w:multiLevelType w:val="hybridMultilevel"/>
    <w:lvl w:ilvl="0">
      <w:lvlJc w:val="left"/>
      <w:lvlText w:val="%1"/>
      <w:numFmt w:val="lowerLetter"/>
      <w:start w:val="1"/>
    </w:lvl>
    <w:lvl w:ilvl="1">
      <w:lvlJc w:val="left"/>
      <w:lvlText w:val="(%2)"/>
      <w:numFmt w:val="lowerLetter"/>
      <w:start w:val="22"/>
    </w:lvl>
  </w:abstractNum>
  <w:abstractNum w:abstractNumId="43">
    <w:nsid w:val="310C50B3"/>
    <w:multiLevelType w:val="hybridMultilevel"/>
    <w:lvl w:ilvl="0">
      <w:lvlJc w:val="left"/>
      <w:lvlText w:val="(%1)"/>
      <w:numFmt w:val="lowerLetter"/>
      <w:start w:val="2"/>
    </w:lvl>
    <w:lvl w:ilvl="1">
      <w:lvlJc w:val="left"/>
      <w:lvlText w:val="(%2)"/>
      <w:numFmt w:val="lowerLetter"/>
      <w:start w:val="9"/>
    </w:lvl>
  </w:abstractNum>
  <w:abstractNum w:abstractNumId="44">
    <w:nsid w:val="5FF87E05"/>
    <w:multiLevelType w:val="hybridMultilevel"/>
    <w:lvl w:ilvl="0">
      <w:lvlJc w:val="left"/>
      <w:lvlText w:val="(%1)"/>
      <w:numFmt w:val="lowerRoman"/>
      <w:start w:val="2"/>
    </w:lvl>
  </w:abstractNum>
  <w:abstractNum w:abstractNumId="45">
    <w:nsid w:val="2F305DEF"/>
    <w:multiLevelType w:val="hybridMultilevel"/>
    <w:lvl w:ilvl="0">
      <w:lvlJc w:val="left"/>
      <w:lvlText w:val="(%1)"/>
      <w:numFmt w:val="lowerLetter"/>
      <w:start w:val="1"/>
    </w:lvl>
    <w:lvl w:ilvl="1">
      <w:lvlJc w:val="left"/>
      <w:lvlText w:val="(%2)"/>
      <w:numFmt w:val="lowerRoman"/>
      <w:start w:val="1"/>
    </w:lvl>
  </w:abstractNum>
  <w:abstractNum w:abstractNumId="46">
    <w:nsid w:val="25A70BF7"/>
    <w:multiLevelType w:val="hybridMultilevel"/>
    <w:lvl w:ilvl="0">
      <w:lvlJc w:val="left"/>
      <w:lvlText w:val="(%1)"/>
      <w:numFmt w:val="lowerRoman"/>
      <w:start w:val="1"/>
    </w:lvl>
  </w:abstractNum>
  <w:abstractNum w:abstractNumId="47">
    <w:nsid w:val="1DBABF00"/>
    <w:multiLevelType w:val="hybridMultilevel"/>
    <w:lvl w:ilvl="0">
      <w:lvlJc w:val="left"/>
      <w:lvlText w:val="(%1)"/>
      <w:numFmt w:val="lowerRoman"/>
      <w:start w:val="2"/>
    </w:lvl>
  </w:abstractNum>
  <w:abstractNum w:abstractNumId="48">
    <w:nsid w:val="4AD084E9"/>
    <w:multiLevelType w:val="hybridMultilevel"/>
    <w:lvl w:ilvl="0">
      <w:lvlJc w:val="left"/>
      <w:lvlText w:val="(%1)"/>
      <w:numFmt w:val="lowerLetter"/>
      <w:start w:val="1"/>
    </w:lvl>
  </w:abstractNum>
  <w:abstractNum w:abstractNumId="49">
    <w:nsid w:val="1F48EAA1"/>
    <w:multiLevelType w:val="hybridMultilevel"/>
    <w:lvl w:ilvl="0">
      <w:lvlJc w:val="left"/>
      <w:lvlText w:val="(%1)"/>
      <w:numFmt w:val="lowerLetter"/>
      <w:start w:val="3"/>
    </w:lvl>
  </w:abstractNum>
  <w:abstractNum w:abstractNumId="50">
    <w:nsid w:val="1381823A"/>
    <w:multiLevelType w:val="hybridMultilevel"/>
    <w:lvl w:ilvl="0">
      <w:lvlJc w:val="left"/>
      <w:lvlText w:val="(%1)"/>
      <w:numFmt w:val="lowerLetter"/>
      <w:start w:val="6"/>
    </w:lvl>
  </w:abstractNum>
  <w:abstractNum w:abstractNumId="51">
    <w:nsid w:val="5DB70AE5"/>
    <w:multiLevelType w:val="hybridMultilevel"/>
    <w:lvl w:ilvl="0">
      <w:lvlJc w:val="left"/>
      <w:lvlText w:val="(%1)"/>
      <w:numFmt w:val="lowerLetter"/>
      <w:start w:val="9"/>
    </w:lvl>
  </w:abstractNum>
  <w:abstractNum w:abstractNumId="52">
    <w:nsid w:val="100F8FCA"/>
    <w:multiLevelType w:val="hybridMultilevel"/>
    <w:lvl w:ilvl="0">
      <w:lvlJc w:val="left"/>
      <w:lvlText w:val="(%1)"/>
      <w:numFmt w:val="lowerLetter"/>
      <w:start w:val="16"/>
    </w:lvl>
  </w:abstractNum>
  <w:abstractNum w:abstractNumId="53">
    <w:nsid w:val="6590700B"/>
    <w:multiLevelType w:val="hybridMultilevel"/>
    <w:lvl w:ilvl="0">
      <w:lvlJc w:val="left"/>
      <w:lvlText w:val="(%1)"/>
      <w:numFmt w:val="lowerLetter"/>
      <w:start w:val="21"/>
    </w:lvl>
  </w:abstractNum>
  <w:abstractNum w:abstractNumId="54">
    <w:nsid w:val="15014ACB"/>
    <w:multiLevelType w:val="hybridMultilevel"/>
    <w:lvl w:ilvl="0">
      <w:lvlJc w:val="left"/>
      <w:lvlText w:val="(%1)"/>
      <w:numFmt w:val="lowerLetter"/>
      <w:start w:val="1"/>
    </w:lvl>
  </w:abstractNum>
  <w:abstractNum w:abstractNumId="55">
    <w:nsid w:val="5F5E7FD0"/>
    <w:multiLevelType w:val="hybridMultilevel"/>
    <w:lvl w:ilvl="0">
      <w:lvlJc w:val="left"/>
      <w:lvlText w:val="(%1)"/>
      <w:numFmt w:val="lowerLetter"/>
      <w:start w:val="3"/>
    </w:lvl>
  </w:abstractNum>
  <w:abstractNum w:abstractNumId="56">
    <w:nsid w:val="98A3148"/>
    <w:multiLevelType w:val="hybridMultilevel"/>
    <w:lvl w:ilvl="0">
      <w:lvlJc w:val="left"/>
      <w:lvlText w:val="(%1)"/>
      <w:numFmt w:val="lowerLetter"/>
      <w:start w:val="7"/>
    </w:lvl>
  </w:abstractNum>
  <w:abstractNum w:abstractNumId="57">
    <w:nsid w:val="799D0247"/>
    <w:multiLevelType w:val="hybridMultilevel"/>
    <w:lvl w:ilvl="0">
      <w:lvlJc w:val="left"/>
      <w:lvlText w:val="(%1)"/>
      <w:numFmt w:val="lowerLetter"/>
      <w:start w:val="1"/>
    </w:lvl>
  </w:abstractNum>
  <w:abstractNum w:abstractNumId="58">
    <w:nsid w:val="6B94764"/>
    <w:multiLevelType w:val="hybridMultilevel"/>
    <w:lvl w:ilvl="0">
      <w:lvlJc w:val="left"/>
      <w:lvlText w:val="(%1)"/>
      <w:numFmt w:val="decimal"/>
      <w:start w:val="3"/>
    </w:lvl>
    <w:lvl w:ilvl="1">
      <w:lvlJc w:val="left"/>
      <w:lvlText w:val="(%2)"/>
      <w:numFmt w:val="lowerLetter"/>
      <w:start w:val="3"/>
    </w:lvl>
  </w:abstractNum>
  <w:abstractNum w:abstractNumId="59">
    <w:nsid w:val="42C296BD"/>
    <w:multiLevelType w:val="hybridMultilevel"/>
    <w:lvl w:ilvl="0">
      <w:lvlJc w:val="left"/>
      <w:lvlText w:val="(%1)"/>
      <w:numFmt w:val="lowerLetter"/>
      <w:start w:val="4"/>
    </w:lvl>
  </w:abstractNum>
  <w:abstractNum w:abstractNumId="60">
    <w:nsid w:val="168E121F"/>
    <w:multiLevelType w:val="hybridMultilevel"/>
    <w:lvl w:ilvl="0">
      <w:lvlJc w:val="left"/>
      <w:lvlText w:val="(%1)"/>
      <w:numFmt w:val="lowerLetter"/>
      <w:start w:val="1"/>
    </w:lvl>
  </w:abstractNum>
  <w:abstractNum w:abstractNumId="61">
    <w:nsid w:val="1EBA5D23"/>
    <w:multiLevelType w:val="hybridMultilevel"/>
    <w:lvl w:ilvl="0">
      <w:lvlJc w:val="left"/>
      <w:lvlText w:val="(%1)"/>
      <w:numFmt w:val="upperLetter"/>
      <w:start w:val="1"/>
    </w:lvl>
  </w:abstractNum>
  <w:abstractNum w:abstractNumId="62">
    <w:nsid w:val="661E3F1E"/>
    <w:multiLevelType w:val="hybridMultilevel"/>
    <w:lvl w:ilvl="0">
      <w:lvlJc w:val="left"/>
      <w:lvlText w:val="%1."/>
      <w:numFmt w:val="decimal"/>
      <w:start w:val="1"/>
    </w:lvl>
  </w:abstractNum>
  <w:abstractNum w:abstractNumId="63">
    <w:nsid w:val="5DC79EA8"/>
    <w:multiLevelType w:val="hybridMultilevel"/>
    <w:lvl w:ilvl="0">
      <w:lvlJc w:val="left"/>
      <w:lvlText w:val="%1."/>
      <w:numFmt w:val="decimal"/>
      <w:start w:val="2"/>
    </w:lvl>
    <w:lvl w:ilvl="1">
      <w:lvlJc w:val="left"/>
      <w:lvlText w:val="(%2)"/>
      <w:numFmt w:val="lowerLetter"/>
      <w:start w:val="1"/>
    </w:lvl>
  </w:abstractNum>
  <w:abstractNum w:abstractNumId="64">
    <w:nsid w:val="540A471C"/>
    <w:multiLevelType w:val="hybridMultilevel"/>
    <w:lvl w:ilvl="0">
      <w:lvlJc w:val="left"/>
      <w:lvlText w:val="(%1)"/>
      <w:numFmt w:val="lowerLetter"/>
      <w:start w:val="2"/>
    </w:lvl>
  </w:abstractNum>
  <w:abstractNum w:abstractNumId="65">
    <w:nsid w:val="7BD3EE7B"/>
    <w:multiLevelType w:val="hybridMultilevel"/>
    <w:lvl w:ilvl="0">
      <w:lvlJc w:val="left"/>
      <w:lvlText w:val="%1."/>
      <w:numFmt w:val="lowerLetter"/>
      <w:start w:val="1"/>
    </w:lvl>
  </w:abstractNum>
  <w:abstractNum w:abstractNumId="66">
    <w:nsid w:val="51D9C564"/>
    <w:multiLevelType w:val="hybridMultilevel"/>
    <w:lvl w:ilvl="0">
      <w:lvlJc w:val="left"/>
      <w:lvlText w:val="%1."/>
      <w:numFmt w:val="decimal"/>
      <w:start w:val="3"/>
    </w:lvl>
  </w:abstractNum>
  <w:abstractNum w:abstractNumId="67">
    <w:nsid w:val="613EFDC5"/>
    <w:multiLevelType w:val="hybridMultilevel"/>
    <w:lvl w:ilvl="0">
      <w:lvlJc w:val="left"/>
      <w:lvlText w:val="(%1)"/>
      <w:numFmt w:val="lowerLetter"/>
      <w:start w:val="1"/>
    </w:lvl>
  </w:abstractNum>
  <w:abstractNum w:abstractNumId="68">
    <w:nsid w:val="BF72B14"/>
    <w:multiLevelType w:val="hybridMultilevel"/>
    <w:lvl w:ilvl="0">
      <w:lvlJc w:val="left"/>
      <w:lvlText w:val="%1"/>
      <w:numFmt w:val="lowerLetter"/>
      <w:start w:val="1"/>
    </w:lvl>
    <w:lvl w:ilvl="1">
      <w:lvlJc w:val="left"/>
      <w:lvlText w:val="(%2)"/>
      <w:numFmt w:val="lowerLetter"/>
      <w:start w:val="2"/>
    </w:lvl>
  </w:abstractNum>
  <w:abstractNum w:abstractNumId="69">
    <w:nsid w:val="11447B73"/>
    <w:multiLevelType w:val="hybridMultilevel"/>
    <w:lvl w:ilvl="0">
      <w:lvlJc w:val="left"/>
      <w:lvlText w:val="(%1)"/>
      <w:numFmt w:val="lowerLetter"/>
      <w:start w:val="61"/>
    </w:lvl>
    <w:lvl w:ilvl="1">
      <w:lvlJc w:val="left"/>
      <w:lvlText w:val="(%2)"/>
      <w:numFmt w:val="lowerLetter"/>
      <w:start w:val="3"/>
    </w:lvl>
  </w:abstractNum>
  <w:abstractNum w:abstractNumId="70">
    <w:nsid w:val="42963E5A"/>
    <w:multiLevelType w:val="hybridMultilevel"/>
    <w:lvl w:ilvl="0">
      <w:lvlJc w:val="left"/>
      <w:lvlText w:val="%1"/>
      <w:numFmt w:val="decimal"/>
      <w:start w:val="1"/>
    </w:lvl>
    <w:lvl w:ilvl="1">
      <w:lvlJc w:val="left"/>
      <w:lvlText w:val="(%2)"/>
      <w:numFmt w:val="lowerLetter"/>
      <w:start w:val="5"/>
    </w:lvl>
  </w:abstractNum>
  <w:abstractNum w:abstractNumId="71">
    <w:nsid w:val="A0382C5"/>
    <w:multiLevelType w:val="hybridMultilevel"/>
    <w:lvl w:ilvl="0">
      <w:lvlJc w:val="left"/>
      <w:lvlText w:val="%1."/>
      <w:numFmt w:val="decimal"/>
      <w:start w:val="4"/>
    </w:lvl>
    <w:lvl w:ilvl="1">
      <w:lvlJc w:val="left"/>
      <w:lvlText w:val="(%2)"/>
      <w:numFmt w:val="lowerLetter"/>
      <w:start w:val="1"/>
    </w:lvl>
  </w:abstractNum>
  <w:abstractNum w:abstractNumId="72">
    <w:nsid w:val="8F2B15E"/>
    <w:multiLevelType w:val="hybridMultilevel"/>
    <w:lvl w:ilvl="0">
      <w:lvlJc w:val="left"/>
      <w:lvlText w:val="(%1)"/>
      <w:numFmt w:val="lowerLetter"/>
      <w:start w:val="2"/>
    </w:lvl>
  </w:abstractNum>
  <w:abstractNum w:abstractNumId="73">
    <w:nsid w:val="1A32234B"/>
    <w:multiLevelType w:val="hybridMultilevel"/>
    <w:lvl w:ilvl="0">
      <w:lvlJc w:val="left"/>
      <w:lvlText w:val="(%1)"/>
      <w:numFmt w:val="lowerLetter"/>
      <w:start w:val="4"/>
    </w:lvl>
  </w:abstractNum>
  <w:abstractNum w:abstractNumId="74">
    <w:nsid w:val="3B0FD379"/>
    <w:multiLevelType w:val="hybridMultilevel"/>
    <w:lvl w:ilvl="0">
      <w:lvlJc w:val="left"/>
      <w:lvlText w:val="%1."/>
      <w:numFmt w:val="decimal"/>
      <w:start w:val="6"/>
    </w:lvl>
  </w:abstractNum>
  <w:abstractNum w:abstractNumId="75">
    <w:nsid w:val="68EB2F63"/>
    <w:multiLevelType w:val="hybridMultilevel"/>
    <w:lvl w:ilvl="0">
      <w:lvlJc w:val="left"/>
      <w:lvlText w:val="(%1)"/>
      <w:numFmt w:val="lowerLetter"/>
      <w:start w:val="1"/>
    </w:lvl>
  </w:abstractNum>
  <w:abstractNum w:abstractNumId="76">
    <w:nsid w:val="4962813B"/>
    <w:multiLevelType w:val="hybridMultilevel"/>
    <w:lvl w:ilvl="0">
      <w:lvlJc w:val="left"/>
      <w:lvlText w:val="(%1)"/>
      <w:numFmt w:val="lowerLetter"/>
      <w:start w:val="2"/>
    </w:lvl>
  </w:abstractNum>
  <w:abstractNum w:abstractNumId="77">
    <w:nsid w:val="60B6DF70"/>
    <w:multiLevelType w:val="hybridMultilevel"/>
    <w:lvl w:ilvl="0">
      <w:lvlJc w:val="left"/>
      <w:lvlText w:val="(%1)"/>
      <w:numFmt w:val="lowerLetter"/>
      <w:start w:val="9"/>
    </w:lvl>
  </w:abstractNum>
  <w:abstractNum w:abstractNumId="78">
    <w:nsid w:val="6A5EE64"/>
    <w:multiLevelType w:val="hybridMultilevel"/>
    <w:lvl w:ilvl="0">
      <w:lvlJc w:val="left"/>
      <w:lvlText w:val="●"/>
      <w:numFmt w:val="bullet"/>
      <w:start w:val="1"/>
    </w:lvl>
  </w:abstractNum>
  <w:abstractNum w:abstractNumId="79">
    <w:nsid w:val="14330624"/>
    <w:multiLevelType w:val="hybridMultilevel"/>
    <w:lvl w:ilvl="0">
      <w:lvlJc w:val="left"/>
      <w:lvlText w:val="(%1)"/>
      <w:numFmt w:val="lowerLetter"/>
      <w:start w:val="1"/>
    </w:lvl>
  </w:abstractNum>
  <w:abstractNum w:abstractNumId="80">
    <w:nsid w:val="7FFFCA11"/>
    <w:multiLevelType w:val="hybridMultilevel"/>
    <w:lvl w:ilvl="0">
      <w:lvlJc w:val="left"/>
      <w:lvlText w:val="(%1)"/>
      <w:numFmt w:val="lowerLetter"/>
      <w:start w:val="2"/>
    </w:lvl>
  </w:abstractNum>
  <w:abstractNum w:abstractNumId="81">
    <w:nsid w:val="1A27709E"/>
    <w:multiLevelType w:val="hybridMultilevel"/>
    <w:lvl w:ilvl="0">
      <w:lvlJc w:val="left"/>
      <w:lvlText w:val="(%1)"/>
      <w:numFmt w:val="lowerLetter"/>
      <w:start w:val="4"/>
    </w:lvl>
  </w:abstractNum>
  <w:abstractNum w:abstractNumId="82">
    <w:nsid w:val="71EA1109"/>
    <w:multiLevelType w:val="hybridMultilevel"/>
    <w:lvl w:ilvl="0">
      <w:lvlJc w:val="left"/>
      <w:lvlText w:val="%1:"/>
      <w:numFmt w:val="upperLetter"/>
      <w:start w:val="16"/>
    </w:lvl>
  </w:abstractNum>
  <w:abstractNum w:abstractNumId="83">
    <w:nsid w:val="100F59DC"/>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2026-06-03T08:33:18Z</dcterms:created>
  <dcterms:modified xsi:type="dcterms:W3CDTF">2026-06-03T08:33:18Z</dcterms:modified>
</cp:coreProperties>
</file>