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23, 2025</w:t>
      </w:r>
    </w:p>
    <w:p>
      <w:pPr>
        <w:spacing w:after="0" w:line="225" w:lineRule="exact"/>
        <w:rPr>
          <w:sz w:val="24"/>
          <w:szCs w:val="24"/>
          <w:color w:val="auto"/>
        </w:rPr>
      </w:pPr>
    </w:p>
    <w:p>
      <w:pPr>
        <w:ind w:left="88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SINTX Technologies,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84-1375299</w:t>
            </w:r>
          </w:p>
        </w:tc>
      </w:tr>
      <w:tr>
        <w:trPr>
          <w:trHeight w:val="216"/>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1885 West 2100 South</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Salt Lake City, UT 84119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Eric Olson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1885 West 2100 South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Salt Lake City, UT, 84119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(801) 839-3500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David F. Marx</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Daniel P. Lyman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Dorsey &amp; Whitney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111 South Main Street, Suite 2100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Salt Lake City, Utah 84111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selling stockholders.</w:t>
      </w:r>
    </w:p>
    <w:p>
      <w:pPr>
        <w:spacing w:after="0" w:line="11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41" w:right="339" w:bottom="13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This registration statement shall hereafter become effective in accordance with the provisions of section 8(a)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11240"/>
          </w:cols>
          <w:pgMar w:left="320" w:top="684" w:right="3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SUBJECT TO COMPLETION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0000"/>
        </w:rPr>
        <w:t>PRELIMINARY PROSPECTUS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0000"/>
        </w:rPr>
        <w:t>DATED OCTOBER 23, 2025</w:t>
      </w:r>
    </w:p>
    <w:p>
      <w:pPr>
        <w:spacing w:after="0" w:line="438" w:lineRule="exact"/>
        <w:rPr>
          <w:sz w:val="20"/>
          <w:szCs w:val="20"/>
          <w:color w:val="auto"/>
        </w:rPr>
      </w:pPr>
    </w:p>
    <w:p>
      <w:pPr>
        <w:sectPr>
          <w:pgSz w:w="11900" w:h="16838" w:orient="portrait"/>
          <w:cols w:equalWidth="0" w:num="2">
            <w:col w:w="8280" w:space="720"/>
            <w:col w:w="2240"/>
          </w:cols>
          <w:pgMar w:left="320" w:top="684" w:right="339" w:bottom="1440"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SINTX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164465</wp:posOffset>
            </wp:positionV>
            <wp:extent cx="1765935"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65935" cy="75438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1,741,539 Shares of Common Stock Offered by the Selling Stockholders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relates to the offer and resale by the selling stockholders identified in this prospectus or their donees, pledgees, assignees, transferees, distributees or other successors-in-interest (the “selling stockholders”) of up to an aggregate of 1,741,539 shares (the “Shares”) of our common stock, par value $0.01 per share (the “common stock”), issued by us in connection with a private placement on February 20, 2025 consisting of (i) 1,649,147 shares of our common stock (the “Common Warrant Shares”) issuable upon the exercise of common warrants to purchase shares of our common stock held by selling stockholders (the “Common Warrants”), and (ii) placement agent warrants (the “Placement Agent Warrants” and together with the Common Warrants, the “Warrants”) to purchase an aggregate of up to 92,392 shares of common stock (the “Placement Agent Warrant Shares” and together with the Common Warrant Shares, the “Warrant Shares”). The Warrants were issued to the selling stockholders in a private placement (the “Private Placement”) pursuant to an inducement letter dated September 8, 2025.</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not selling any shares of common stock under this prospectus and will not receive any proceeds from the sale by the selling stockholders of the Shares. We would, however, receive proceeds of up to approximately $8.3 million upon the exercise for cash of the Warrants held by the selling stockholders. Proceeds, if any, received from the exercise of such Warrants will be used for general corporate purposes and working capital. No assurances can be given that any Warrants will be exercised or that we will receive any cash proceeds upon such exercise if cashless exercise is available.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the Shares by the selling stockholders may occur at fixed prices, at market prices prevailing at the time of sale, at prices related to prevailing market prices or at negotiated prices. The selling stockholders may sell Shares from time to time to or through underwriters, broker-dealers or agents, who may receive compensation in the form of discounts, concessions or commissions from the selling stockholders, the purchasers of the Shares, or both.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paying the cost of registering the shares of common stock covered by this prospectus as well as various related expenses. The selling stockholders are responsible for all broker or similar commissions related to the offer and sale of their Shares. See the section titled “Plan of Distribution” on page 23 for more information about how the selling stockholders may sell or dispose of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“SINT.” On October 22, 2025, the last reported sale price of our common stock was $3.25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under the federal securities laws and, as such, have elected to comply with certain reduced public company reporting requirements for this prospectus and the documents incorporated by reference herein and may elect to comply with reduced public company reporting requirements in future filings.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section titled “Risk Factors” on page 6 of this prospectus and any similar section contained in any amendment or supplement to this prospectus or in any filing with the Securities and Exchange Commission that is incorporated by reference into this prospectus.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3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6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540" w:type="dxa"/>
            <w:vAlign w:val="bottom"/>
            <w:tcBorders>
              <w:bottom w:val="single" w:sz="8" w:color="CCEEFF"/>
            </w:tcBorders>
            <w:gridSpan w:val="4"/>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20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87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460" w:type="dxa"/>
            <w:vAlign w:val="bottom"/>
          </w:tcPr>
          <w:p>
            <w:pPr>
              <w:jc w:val="center"/>
              <w:ind w:left="205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87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460" w:type="dxa"/>
            <w:vAlign w:val="bottom"/>
            <w:shd w:val="clear" w:color="auto" w:fill="CCEEFF"/>
          </w:tcPr>
          <w:p>
            <w:pPr>
              <w:jc w:val="center"/>
              <w:ind w:left="20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60" w:type="dxa"/>
            <w:vAlign w:val="bottom"/>
          </w:tcPr>
          <w:p>
            <w:pPr>
              <w:jc w:val="center"/>
              <w:ind w:left="20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520" w:type="dxa"/>
            <w:vAlign w:val="bottom"/>
            <w:tcBorders>
              <w:bottom w:val="single" w:sz="8" w:color="CCEEFF"/>
            </w:tcBorders>
            <w:gridSpan w:val="11"/>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205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87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460" w:type="dxa"/>
            <w:vAlign w:val="bottom"/>
          </w:tcPr>
          <w:p>
            <w:pPr>
              <w:jc w:val="center"/>
              <w:ind w:left="205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6560" w:type="dxa"/>
            <w:vAlign w:val="bottom"/>
            <w:tcBorders>
              <w:bottom w:val="single" w:sz="8" w:color="CCEEFF"/>
            </w:tcBorders>
            <w:gridSpan w:val="5"/>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203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87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460" w:type="dxa"/>
            <w:vAlign w:val="bottom"/>
          </w:tcPr>
          <w:p>
            <w:pPr>
              <w:jc w:val="center"/>
              <w:ind w:left="203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7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460" w:type="dxa"/>
            <w:vAlign w:val="bottom"/>
            <w:shd w:val="clear" w:color="auto" w:fill="CCEEFF"/>
          </w:tcPr>
          <w:p>
            <w:pPr>
              <w:jc w:val="center"/>
              <w:ind w:left="203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320" w:type="dxa"/>
            <w:vAlign w:val="bottom"/>
            <w:tcBorders>
              <w:top w:val="single" w:sz="8" w:color="CCEEFF"/>
            </w:tcBorders>
            <w:gridSpan w:val="9"/>
          </w:tcPr>
          <w:p>
            <w:pPr>
              <w:spacing w:after="0"/>
              <w:rPr>
                <w:sz w:val="15"/>
                <w:szCs w:val="15"/>
                <w:color w:val="auto"/>
              </w:rPr>
            </w:pPr>
          </w:p>
        </w:tc>
        <w:tc>
          <w:tcPr>
            <w:tcW w:w="2460" w:type="dxa"/>
            <w:vAlign w:val="bottom"/>
            <w:tcBorders>
              <w:top w:val="single" w:sz="8" w:color="CCEEFF"/>
            </w:tcBorders>
          </w:tcPr>
          <w:p>
            <w:pPr>
              <w:jc w:val="center"/>
              <w:ind w:left="203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87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460" w:type="dxa"/>
            <w:vAlign w:val="bottom"/>
            <w:shd w:val="clear" w:color="auto" w:fill="CCEEFF"/>
          </w:tcPr>
          <w:p>
            <w:pPr>
              <w:jc w:val="center"/>
              <w:ind w:left="203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7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60" w:type="dxa"/>
            <w:vAlign w:val="bottom"/>
          </w:tcPr>
          <w:p>
            <w:pPr>
              <w:jc w:val="center"/>
              <w:ind w:left="203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(“SEC”). Under this registration statement, the selling stockholders may sell from time to time in one or more offerings the common stock described in this prospectus. We will not receive any proceeds from the sale of common stock by the selling stockholders pursuant to this prospectus, except for cash received upon any exercise of the Warrants, if 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may be supplemented from time to time by one or more prospectus supplements. Such prospectus supplement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together with additional information described under the heading “Where You Can Find Additional Information” and “Incorporation of Certain Information by Reference.” before deciding to invest in the Shares being offered.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the selling stockholders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Persons outside the United States who come into possession of this prospectus must inform themselves about, and observe any restrictions relating to, this offering of our securities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mentioned or unless the context indicates otherwise, all references in this prospectus to the “Company,” “we,” “us” and “our” refer to the business of Sintx Technologies, Inc., a Delaware corporation,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476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t>PROSPECTUS SUMMARY</w:t>
      </w:r>
    </w:p>
    <w:p>
      <w:pPr>
        <w:spacing w:after="0" w:line="22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if any,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ind w:right="20"/>
        <w:spacing w:after="0" w:line="216" w:lineRule="exact"/>
        <w:rPr>
          <w:sz w:val="20"/>
          <w:szCs w:val="20"/>
          <w:color w:val="auto"/>
        </w:rPr>
      </w:pPr>
      <w:r>
        <w:rPr>
          <w:rFonts w:ascii="Times New Roman" w:cs="Times New Roman" w:eastAsia="Times New Roman" w:hAnsi="Times New Roman"/>
          <w:sz w:val="18"/>
          <w:szCs w:val="18"/>
          <w:color w:val="auto"/>
        </w:rPr>
        <w:t>SINTX Technologies is an advanced ceramics company formed in December 1996, that develops and commercializes materials, components, and technologies for medical and agribiotech applications. SINTX provides biomedical solutions for medical devices specializing in silicon nitride (Si</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N</w:t>
      </w:r>
      <w:r>
        <w:rPr>
          <w:rFonts w:ascii="MS PGothic" w:cs="MS PGothic" w:eastAsia="MS PGothic" w:hAnsi="MS PGothic"/>
          <w:sz w:val="18"/>
          <w:szCs w:val="18"/>
          <w:color w:val="auto"/>
        </w:rPr>
        <w:t>₄</w:t>
      </w:r>
      <w:r>
        <w:rPr>
          <w:rFonts w:ascii="Times New Roman" w:cs="Times New Roman" w:eastAsia="Times New Roman" w:hAnsi="Times New Roman"/>
          <w:sz w:val="18"/>
          <w:szCs w:val="18"/>
          <w:color w:val="auto"/>
        </w:rPr>
        <w:t>) for musculoskeletal and antipathogenic applications. SINTX is a global leader in the research, development, and manufacturing of silicon nitride, and its products have been implanted in humans since 2008.</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SINTX Core Business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Biomedical Applications</w:t>
      </w:r>
      <w:r>
        <w:rPr>
          <w:rFonts w:ascii="Times New Roman" w:cs="Times New Roman" w:eastAsia="Times New Roman" w:hAnsi="Times New Roman"/>
          <w:sz w:val="18"/>
          <w:szCs w:val="18"/>
          <w:color w:val="auto"/>
        </w:rPr>
        <w:t>: Since its inception, SINTX has been focused on medical grade silicon nitride. SINTX biomedical products have been shown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biocompatible, bioactive, antipathogenic, and to have superb bone affinity. Spinal implants made from SINTX silicon nitride have been successfully implanted in humans since 2008 in the U.S., Europe, South America and Asia. This established use, along with its inherent resistance to bacterial adhesion and bone affinity suggests that it may also be suitable in other fusion device applications such as arthroplasty implants, foot wedges, and dental implants. More recently, in July 2025, SINTX submitted a 510(k) premarket notification to the U.S. Food and Drug Administration (“FDA”) for its novel silicon nitride osteotomy wedges, marking its official entry into the foot and ankle reconstruction market. These next-generation implants blend cutting-edge biomaterials science with surgical precision and are designed to elevate standards in orthopedic procedures. Bacterial infection of any biomaterial implants is always a concern. SINTX silicon nitride has been shown to be resistant to bacterial colonization and biofilm formation, making it antibacterial. SINTX silicon nitride products can be polished to a smooth and wear-resistant surface for articulating applications, such as bearings for hip and knee replacements.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silicon nitride has a superb combination of properties that make it suited for long-term human implantation. Other biomaterials are based on bone grafts, metal alloys, and polymers- all of which have well-known practical limitations and disadvantages. In contrast, silicon nitride has a legacy of success in the most demanding and extreme industrial environments. As a human implant material, silicon nitride offers bone ingrowth, resistance to bacterial and viral infection, ease of diagnostic imaging, resistance to corrosion, and superior strength and fracture resistance, all of which claims are validated in our large and growing inventory of peer-reviewed, published literature reports. We believe that our versatile silicon nitride manufacturing expertise positions us favorably to introduce new and innovative devices in the medical and non-medical fields.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Antipathogenic Applications</w:t>
      </w:r>
      <w:r>
        <w:rPr>
          <w:rFonts w:ascii="Times New Roman" w:cs="Times New Roman" w:eastAsia="Times New Roman" w:hAnsi="Times New Roman"/>
          <w:sz w:val="18"/>
          <w:szCs w:val="18"/>
          <w:color w:val="auto"/>
        </w:rPr>
        <w:t>: Today, there is a global need to improve protection against pathogens in everyday life. SINTX believes that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incorporating its unique composition of silicon nitride antipathogenic powder into products such as face masks, drapes, filters, sutures, and wound care devices, it is possible to manufacture surfaces that inactivate pathogens, thereby limiting the spread of infection and disease. The discovery in 2020 that SINTX silicon nitride inactivates SARS-CoV-2, the virus which causes the disease COVID-19, has opened new markets and applications for our material.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presently manufacture advanced ceramic powders and components in our manufacturing facilities based in Salt Lake City, Utah. The SINTX Salt Lake City facility is registered with the FDA, is cGMP and ANVISA RDC 665 compliant, as well as being ISO 9001:2015, ISO 13485:2016 certified, and ASD9100D certified. The Company’s products are primarily sold in the United States.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2361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361565"/>
                    </a:xfrm>
                    <a:prstGeom prst="rect">
                      <a:avLst/>
                    </a:prstGeom>
                    <a:noFill/>
                  </pic:spPr>
                </pic:pic>
              </a:graphicData>
            </a:graphic>
          </wp:anchor>
        </w:drawing>
        <w:t>Corporate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headquarters is located at 1885 West 2100 South, Salt Lake City, Utah 84119, and our telephone number is (801) 839-3500. We maintain a website at https://www.sintx.com. Information on the website is not incorporated by reference and is not a part of this prospectus.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prospectus may include trademarks, service marks and trade names owned by us or other companies. All trademarks, service marks and trade names included herein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8" w:name="page9"/>
    <w:bookmarkEnd w:id="8"/>
    <w:p>
      <w:pPr>
        <w:jc w:val="center"/>
        <w:ind w:right="-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379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379085"/>
                    </a:xfrm>
                    <a:prstGeom prst="rect">
                      <a:avLst/>
                    </a:prstGeom>
                    <a:noFill/>
                  </pic:spPr>
                </pic:pic>
              </a:graphicData>
            </a:graphic>
          </wp:anchor>
        </w:drawing>
        <w:t>The Offering</w:t>
      </w:r>
    </w:p>
    <w:p>
      <w:pPr>
        <w:sectPr>
          <w:pgSz w:w="11900" w:h="16838" w:orient="portrait"/>
          <w:cols w:equalWidth="0" w:num="1">
            <w:col w:w="10925"/>
          </w:cols>
          <w:pgMar w:left="475" w:top="914" w:right="499" w:bottom="1440" w:gutter="0" w:footer="0" w:header="0"/>
        </w:sectPr>
      </w:pPr>
    </w:p>
    <w:p>
      <w:pPr>
        <w:spacing w:after="0" w:line="241" w:lineRule="exact"/>
        <w:rPr>
          <w:sz w:val="20"/>
          <w:szCs w:val="20"/>
          <w:color w:val="auto"/>
        </w:rPr>
      </w:pPr>
    </w:p>
    <w:p>
      <w:pPr>
        <w:ind w:left="5"/>
        <w:spacing w:after="0" w:line="282" w:lineRule="auto"/>
        <w:rPr>
          <w:sz w:val="20"/>
          <w:szCs w:val="20"/>
          <w:color w:val="auto"/>
        </w:rPr>
      </w:pPr>
      <w:r>
        <w:rPr>
          <w:rFonts w:ascii="Times New Roman" w:cs="Times New Roman" w:eastAsia="Times New Roman" w:hAnsi="Times New Roman"/>
          <w:sz w:val="18"/>
          <w:szCs w:val="18"/>
          <w:color w:val="auto"/>
        </w:rPr>
        <w:t>Shares of common stock offered by the selling stockholders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registering the resale by the selling stockholders of an aggregate of 1,741,539 Shares, consisting of (i) 1,649,147 Common Warrant Shares, and (ii) 92,392 Placement Agent Warrant Shares.</w:t>
      </w:r>
    </w:p>
    <w:p>
      <w:pPr>
        <w:spacing w:after="0" w:line="162" w:lineRule="exact"/>
        <w:rPr>
          <w:sz w:val="20"/>
          <w:szCs w:val="20"/>
          <w:color w:val="auto"/>
        </w:rPr>
      </w:pPr>
    </w:p>
    <w:p>
      <w:pPr>
        <w:sectPr>
          <w:pgSz w:w="11900" w:h="16838" w:orient="portrait"/>
          <w:cols w:equalWidth="0" w:num="2">
            <w:col w:w="2565" w:space="400"/>
            <w:col w:w="7960"/>
          </w:cols>
          <w:pgMar w:left="475" w:top="914" w:right="499" w:bottom="1440" w:gutter="0" w:footer="0" w:header="0"/>
          <w:type w:val="continuous"/>
        </w:sectPr>
      </w:pPr>
    </w:p>
    <w:p>
      <w:pPr>
        <w:ind w:left="5"/>
        <w:spacing w:after="0"/>
        <w:rPr>
          <w:sz w:val="20"/>
          <w:szCs w:val="20"/>
          <w:color w:val="auto"/>
        </w:rPr>
      </w:pPr>
      <w:r>
        <w:rPr>
          <w:rFonts w:ascii="Times New Roman" w:cs="Times New Roman" w:eastAsia="Times New Roman" w:hAnsi="Times New Roman"/>
          <w:sz w:val="17"/>
          <w:szCs w:val="17"/>
          <w:color w:val="auto"/>
        </w:rPr>
        <w:t>Common stock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3,683,989 shares</w:t>
      </w:r>
    </w:p>
    <w:p>
      <w:pPr>
        <w:spacing w:after="0" w:line="200" w:lineRule="exact"/>
        <w:rPr>
          <w:sz w:val="20"/>
          <w:szCs w:val="20"/>
          <w:color w:val="auto"/>
        </w:rPr>
      </w:pPr>
    </w:p>
    <w:p>
      <w:pPr>
        <w:sectPr>
          <w:pgSz w:w="11900" w:h="16838" w:orient="portrait"/>
          <w:cols w:equalWidth="0" w:num="2">
            <w:col w:w="2245" w:space="720"/>
            <w:col w:w="7960"/>
          </w:cols>
          <w:pgMar w:left="475" w:top="914" w:right="499" w:bottom="1440" w:gutter="0" w:footer="0" w:header="0"/>
          <w:type w:val="continuous"/>
        </w:sectPr>
      </w:pPr>
    </w:p>
    <w:p>
      <w:pPr>
        <w:spacing w:after="0" w:line="37" w:lineRule="exact"/>
        <w:rPr>
          <w:sz w:val="20"/>
          <w:szCs w:val="20"/>
          <w:color w:val="auto"/>
        </w:rPr>
      </w:pPr>
    </w:p>
    <w:p>
      <w:pPr>
        <w:ind w:left="5"/>
        <w:spacing w:after="0" w:line="282" w:lineRule="auto"/>
        <w:rPr>
          <w:sz w:val="20"/>
          <w:szCs w:val="20"/>
          <w:color w:val="auto"/>
        </w:rPr>
      </w:pPr>
      <w:r>
        <w:rPr>
          <w:rFonts w:ascii="Times New Roman" w:cs="Times New Roman" w:eastAsia="Times New Roman" w:hAnsi="Times New Roman"/>
          <w:sz w:val="18"/>
          <w:szCs w:val="18"/>
          <w:color w:val="auto"/>
        </w:rPr>
        <w:t>Common stock outstanding assuming exercise of all Warrants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5,425,528 shares</w:t>
      </w:r>
    </w:p>
    <w:p>
      <w:pPr>
        <w:spacing w:after="0" w:line="452" w:lineRule="exact"/>
        <w:rPr>
          <w:sz w:val="20"/>
          <w:szCs w:val="20"/>
          <w:color w:val="auto"/>
        </w:rPr>
      </w:pPr>
    </w:p>
    <w:p>
      <w:pPr>
        <w:sectPr>
          <w:pgSz w:w="11900" w:h="16838" w:orient="portrait"/>
          <w:cols w:equalWidth="0" w:num="2">
            <w:col w:w="2705" w:space="260"/>
            <w:col w:w="7960"/>
          </w:cols>
          <w:pgMar w:left="475" w:top="914" w:right="499" w:bottom="1440" w:gutter="0" w:footer="0" w:header="0"/>
          <w:type w:val="continuous"/>
        </w:sectPr>
      </w:pPr>
    </w:p>
    <w:p>
      <w:pPr>
        <w:ind w:left="5"/>
        <w:spacing w:after="0"/>
        <w:rPr>
          <w:sz w:val="20"/>
          <w:szCs w:val="20"/>
          <w:color w:val="auto"/>
        </w:rPr>
      </w:pPr>
      <w:r>
        <w:rPr>
          <w:rFonts w:ascii="Times New Roman" w:cs="Times New Roman" w:eastAsia="Times New Roman" w:hAnsi="Times New Roman"/>
          <w:sz w:val="17"/>
          <w:szCs w:val="17"/>
          <w:color w:val="auto"/>
        </w:rPr>
        <w:t>Terms of the offering</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Each selling stockholder will determine when and how it will sell the common stock offered in this prospectus, as described in the “Plan of Distribution” on page 23.</w:t>
      </w:r>
    </w:p>
    <w:p>
      <w:pPr>
        <w:spacing w:after="0" w:line="162" w:lineRule="exact"/>
        <w:rPr>
          <w:sz w:val="20"/>
          <w:szCs w:val="20"/>
          <w:color w:val="auto"/>
        </w:rPr>
      </w:pPr>
    </w:p>
    <w:p>
      <w:pPr>
        <w:sectPr>
          <w:pgSz w:w="11900" w:h="16838" w:orient="portrait"/>
          <w:cols w:equalWidth="0" w:num="2">
            <w:col w:w="2245" w:space="720"/>
            <w:col w:w="7960"/>
          </w:cols>
          <w:pgMar w:left="475" w:top="914" w:right="499" w:bottom="1440" w:gutter="0" w:footer="0" w:header="0"/>
          <w:type w:val="continuous"/>
        </w:sectPr>
      </w:pPr>
    </w:p>
    <w:p>
      <w:pPr>
        <w:ind w:left="5"/>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In the event the selling stockholders exercise all of the Warrants for cash, we will, receive an aggregate of approximately $8.3 million of gross proceeds, assuming all of the Warrants, including the Placement Agent Warrants. Any proceeds that we receive from the exercise of such Warrants will be used for working capital and general corporate purposes.</w:t>
      </w:r>
    </w:p>
    <w:p>
      <w:pPr>
        <w:spacing w:after="0" w:line="180" w:lineRule="exact"/>
        <w:rPr>
          <w:sz w:val="20"/>
          <w:szCs w:val="20"/>
          <w:color w:val="auto"/>
        </w:rPr>
      </w:pPr>
    </w:p>
    <w:p>
      <w:pPr>
        <w:sectPr>
          <w:pgSz w:w="11900" w:h="16838" w:orient="portrait"/>
          <w:cols w:equalWidth="0" w:num="2">
            <w:col w:w="2245" w:space="720"/>
            <w:col w:w="7960"/>
          </w:cols>
          <w:pgMar w:left="475" w:top="914" w:right="499" w:bottom="1440" w:gutter="0" w:footer="0" w:header="0"/>
          <w:type w:val="continuous"/>
        </w:sectPr>
      </w:pPr>
    </w:p>
    <w:p>
      <w:pPr>
        <w:ind w:left="5"/>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See “Risk Factors” on page 6 for a discussion of factors you should carefully consider before deciding to invest in our common stock.</w:t>
      </w:r>
    </w:p>
    <w:p>
      <w:pPr>
        <w:spacing w:after="0" w:line="162" w:lineRule="exact"/>
        <w:rPr>
          <w:sz w:val="20"/>
          <w:szCs w:val="20"/>
          <w:color w:val="auto"/>
        </w:rPr>
      </w:pPr>
    </w:p>
    <w:p>
      <w:pPr>
        <w:sectPr>
          <w:pgSz w:w="11900" w:h="16838" w:orient="portrait"/>
          <w:cols w:equalWidth="0" w:num="2">
            <w:col w:w="2245" w:space="720"/>
            <w:col w:w="7960"/>
          </w:cols>
          <w:pgMar w:left="475" w:top="914" w:right="499" w:bottom="1440" w:gutter="0" w:footer="0" w:header="0"/>
          <w:type w:val="continuous"/>
        </w:sectPr>
      </w:pPr>
    </w:p>
    <w:p>
      <w:pPr>
        <w:ind w:left="5"/>
        <w:spacing w:after="0"/>
        <w:rPr>
          <w:sz w:val="20"/>
          <w:szCs w:val="20"/>
          <w:color w:val="auto"/>
        </w:rPr>
      </w:pPr>
      <w:r>
        <w:rPr>
          <w:rFonts w:ascii="Times New Roman" w:cs="Times New Roman" w:eastAsia="Times New Roman" w:hAnsi="Times New Roman"/>
          <w:sz w:val="17"/>
          <w:szCs w:val="17"/>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on the Nasdaq Capital Market under the symbol “SINT.”</w:t>
      </w:r>
    </w:p>
    <w:p>
      <w:pPr>
        <w:spacing w:after="0" w:line="200" w:lineRule="exact"/>
        <w:rPr>
          <w:sz w:val="20"/>
          <w:szCs w:val="20"/>
          <w:color w:val="auto"/>
        </w:rPr>
      </w:pPr>
    </w:p>
    <w:p>
      <w:pPr>
        <w:sectPr>
          <w:pgSz w:w="11900" w:h="16838" w:orient="portrait"/>
          <w:cols w:equalWidth="0" w:num="2">
            <w:col w:w="2245" w:space="720"/>
            <w:col w:w="7960"/>
          </w:cols>
          <w:pgMar w:left="475" w:top="914" w:right="499" w:bottom="1440" w:gutter="0" w:footer="0" w:header="0"/>
          <w:type w:val="continuous"/>
        </w:sectPr>
      </w:pPr>
    </w:p>
    <w:p>
      <w:pPr>
        <w:spacing w:after="0" w:line="37" w:lineRule="exact"/>
        <w:rPr>
          <w:sz w:val="20"/>
          <w:szCs w:val="20"/>
          <w:color w:val="auto"/>
        </w:rPr>
      </w:pPr>
    </w:p>
    <w:p>
      <w:pPr>
        <w:ind w:left="5"/>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3,683,989 shares of common stock outstanding as of October 20, 2025 and excludes, in each case as of October 20, 2025:</w:t>
      </w:r>
    </w:p>
    <w:p>
      <w:pPr>
        <w:spacing w:after="0" w:line="162" w:lineRule="exact"/>
        <w:rPr>
          <w:sz w:val="20"/>
          <w:szCs w:val="20"/>
          <w:color w:val="auto"/>
        </w:rPr>
      </w:pPr>
    </w:p>
    <w:p>
      <w:pPr>
        <w:ind w:left="645" w:hanging="321"/>
        <w:spacing w:after="0" w:line="261" w:lineRule="auto"/>
        <w:tabs>
          <w:tab w:leader="none" w:pos="6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735,334 shares of common stock issuable upon the exercise of outstanding options at a weighted average exercise price of $8.70 per share and restricted stock units granted under our equity incentive plans;</w:t>
      </w:r>
    </w:p>
    <w:p>
      <w:pPr>
        <w:ind w:left="645" w:hanging="321"/>
        <w:spacing w:after="0"/>
        <w:tabs>
          <w:tab w:leader="none" w:pos="6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1,405,807 shares of common stock issuable upon the exercise of outstanding warrants, excluding the Warrants;</w:t>
      </w:r>
    </w:p>
    <w:p>
      <w:pPr>
        <w:spacing w:after="0" w:line="9" w:lineRule="exact"/>
        <w:rPr>
          <w:rFonts w:ascii="Times New Roman" w:cs="Times New Roman" w:eastAsia="Times New Roman" w:hAnsi="Times New Roman"/>
          <w:sz w:val="18"/>
          <w:szCs w:val="18"/>
          <w:color w:val="auto"/>
        </w:rPr>
      </w:pPr>
    </w:p>
    <w:p>
      <w:pPr>
        <w:ind w:left="645" w:hanging="321"/>
        <w:spacing w:after="0"/>
        <w:tabs>
          <w:tab w:leader="none" w:pos="6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7,385 shares of our common stock issuable upon the conversion of 19 shares of series B convertible preferred stock outstanding;</w:t>
      </w:r>
    </w:p>
    <w:p>
      <w:pPr>
        <w:spacing w:after="0" w:line="9" w:lineRule="exact"/>
        <w:rPr>
          <w:rFonts w:ascii="Times New Roman" w:cs="Times New Roman" w:eastAsia="Times New Roman" w:hAnsi="Times New Roman"/>
          <w:sz w:val="18"/>
          <w:szCs w:val="18"/>
          <w:color w:val="auto"/>
        </w:rPr>
      </w:pPr>
    </w:p>
    <w:p>
      <w:pPr>
        <w:ind w:left="645" w:hanging="321"/>
        <w:spacing w:after="0"/>
        <w:tabs>
          <w:tab w:leader="none" w:pos="6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shares of our common stock issuable upon the conversion of 50 shares of series C convertible preferred stock outstanding; and</w:t>
      </w:r>
    </w:p>
    <w:p>
      <w:pPr>
        <w:spacing w:after="0" w:line="9" w:lineRule="exact"/>
        <w:rPr>
          <w:rFonts w:ascii="Times New Roman" w:cs="Times New Roman" w:eastAsia="Times New Roman" w:hAnsi="Times New Roman"/>
          <w:sz w:val="18"/>
          <w:szCs w:val="18"/>
          <w:color w:val="auto"/>
        </w:rPr>
      </w:pPr>
    </w:p>
    <w:p>
      <w:pPr>
        <w:ind w:left="645" w:hanging="321"/>
        <w:spacing w:after="0"/>
        <w:tabs>
          <w:tab w:leader="none" w:pos="6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shares of common stock reserved for issuance upon conversion of 180 shares of the Series D Preferred Stock outstanding.</w:t>
      </w:r>
    </w:p>
    <w:p>
      <w:pPr>
        <w:spacing w:after="0" w:line="207" w:lineRule="exact"/>
        <w:rPr>
          <w:sz w:val="20"/>
          <w:szCs w:val="20"/>
          <w:color w:val="auto"/>
        </w:rPr>
      </w:pPr>
    </w:p>
    <w:p>
      <w:pPr>
        <w:ind w:left="5"/>
        <w:spacing w:after="0" w:line="261" w:lineRule="auto"/>
        <w:rPr>
          <w:sz w:val="20"/>
          <w:szCs w:val="20"/>
          <w:color w:val="auto"/>
        </w:rPr>
      </w:pPr>
      <w:r>
        <w:rPr>
          <w:rFonts w:ascii="Times New Roman" w:cs="Times New Roman" w:eastAsia="Times New Roman" w:hAnsi="Times New Roman"/>
          <w:sz w:val="18"/>
          <w:szCs w:val="18"/>
          <w:color w:val="auto"/>
        </w:rPr>
        <w:t>Unless otherwise indicated, the information in this prospectus, including the number of shares outstanding after this offering, does not reflect (i) any issuance, exercise, vesting, expiration, or forfeiture of any additional equity awards under our incentive plans that occurred after October 20, 2025 or</w:t>
      </w:r>
    </w:p>
    <w:p>
      <w:pPr>
        <w:ind w:left="5" w:hanging="5"/>
        <w:spacing w:after="0" w:line="260" w:lineRule="auto"/>
        <w:tabs>
          <w:tab w:leader="none" w:pos="29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“full-ratchet” anti-dilution adjustment of the conversion price of our outstanding Series B Convertible Preferred Stock by this offering.</w:t>
      </w:r>
    </w:p>
    <w:p>
      <w:pPr>
        <w:spacing w:after="0" w:line="200" w:lineRule="exact"/>
        <w:rPr>
          <w:sz w:val="20"/>
          <w:szCs w:val="20"/>
          <w:color w:val="auto"/>
        </w:rPr>
      </w:pPr>
    </w:p>
    <w:p>
      <w:pPr>
        <w:spacing w:after="0" w:line="2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5"/>
          </w:cols>
          <w:pgMar w:left="475" w:top="914" w:right="4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of 1933, as amended (the “Securities Act”), and Section 21E of the Exchange Act, which involve risks and uncertainties.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provide current expectations of future events based on certain assumptions and include any statement that does not directly relate to any historical or current fact. Forward-looking statements are based on our management’s current beliefs, expectations and assumptions about future events, conditions and results and on information currently available to us. Discussions containing these forward-looking statements may be found, among other places, in the Sections of this prospectus entitled “Prospectus Summary” and “Risk Factors.”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“anticipates,” “believes,” “could,” “estimates,” “expects,” “may,” “plans,” “potential” “predicts,” “projects,” “should,” “will,” “would,” and similar expressions intended to identify forward-looking statements. These statements reflect our current views with respect to future events and are based on assumptions and are subject to risks and uncertainties. Given these assumptions, risks and uncertainties, you should not place undue reliance on these forward-looking statements. We discuss in greater detail many of these risks under the heading “Risk Factors” contained in the this prospectus, in any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In addition, past financial and/or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applicable prospectus supplement, together with the documents we have filed with the SEC that are incorporated by reference and any free writing prospectuses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discussed in this section and under the sections titled Risk Factors contained in our most recent Annual Report on Form 10-K and in our subsequent Quarterly Reports on Form 10-Q for the quarterly periods ended subsequent to our filing of such Annual Report on Form 10-K, as well as any amendments or updates to our risk factors reflected in subsequent filings with the SEC, which are incorporated by reference into this prospectus, together with other information in this prospectus, the documents incorporated by reference, any prospectus supplement and any free writing prospectus that we may authorize.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additional risks and uncertainties actually occur, our business, financial condition, results of operations and cash flow could be materially and adversely affected. In that case, the trading price of our common stock could decline and you might lose all or part of your investment. Please also read carefully the section titled “Special Note Regarding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and consider risk factors specific to our business before making an investment decision. Those risks are described in the sections entitled “Risk Factors” in our annual report on Form 10-K for the fiscal year ended December 31, 2024, and in other documents incorporated by reference into this prospectus. Please be aware that additional risks and uncertainties not currently known to us or that we currently deem to be immaterial could also materially and adversely affect our business, results of operations, financial condition, cash flows or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shares issuable upon exercise of the Warrants may depress the price of our common stock and encourage short sales by third parties, which could further depress the price of our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the selling stockholders sell shares of our common stock issued upon exercise of the Warrants, the market price of such shares may decrease due to the additional selling pressure in the market. In addition, the dilution from issuances of such shares may cause stockholders to sell their shares of our common stock, which could further contribute to any decline in the price of our common stock. Any downward pressure on the price of our common stock caused by the sale or potential sale of such shares could encourage short sales by third parties. Such sales could place downward pressure on the price of our common stock by increasing the number of shares of our common stock being sold, which could further contribute to any decline in the market price of our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other securities might result in significant dilution and could cause the price of our common stock to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raise capital, we may sell common stock, convertible securities or other equity securities in one or more transactions, at prices and in a manner we determine from time to time.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what effect, if any, sales of shares of our common stock in the public market or the availability of shares for sale will have on the market price of our common stock. However, future sales of substantial amounts of our common stock in the public market, or the perception that such sales may occur, could adversely affect the market price of our common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proceeds from the offering and uses may not improve our financial condition or market value.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by the selling stockholders. In the event the selling stockholders exercise all of the Warrants in cash, we may receive an aggregate of approximately $8.3 million of gross proceeds. Any proceeds that we receive from the exercise of such Warrants will be used for working capital and general corporate purposes.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Because we have not designated the amount of proceeds from the offering to be used for any particular purpose, our management will have broad discretion as to the application of such proceeds and could use them for purposes other than those contemplated hereby. Our management may use the proceeds for corporate purposes that may not improve our financial condition or market value.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or other disposition of the Shares offered pursuant to this prospectus. Upon any exercise of the Warrants for cash, the applicable selling stockholder would pay us the exercise price set forth in the applicable Warrants, totaling approximately $8.3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Common Warrant has an exercise price equal to $4.79 per share, and if all 1,649,147 Common Warrants registered hereunder are exercised on a cash basis, we will receive proceeds of approximately $7.9 million. The Placement Agent Warrants are comprised of (i) 82,457 warrants with an exercise price equal to $4.3844 per share and (ii) 9,935 warrants with an exercise price equal to $4.3125 per share, and if all 92,392 Placement Agent Warrants registered hereunder are exercised on a cash basis, we will receive proceeds of approximately $0.4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use any proceeds from the exercise of any Warrants for working capital and general corporate purposes. The Warrants are exercisable on a cashless basis. If any of the Warrants are exercised on a cashless basis, we would not receive any cash payment from the applicable selling stockholder upon any such exercise.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bear the out-of-pocket costs, expenses and fees incurred in connection with the registration of shares of our common stock to be sold by the selling stockholders pursuant to this prospectus. Other than registration expenses, the selling stockholders will bear their own broker or similar commissions payable with respect to sales of the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of up to an aggregate of 1,741,539 shares (the “Shares”) of our common stock, par value $0.01 per share (the “common stock”), issued by us in connection with a private placement on February 20, 2025 consisting of (i) 1,649,147 shares of our common stock (the “Common Warrant Shares”) issuable upon the exercise of common warrants to purchase shares of our common stock held by selling stockholders (the “Common Warrants”), and (ii) placement agent warrants (the “Placement Agent Warrants” and together with the Common Warrants, the “Warrants”) to purchase an aggregate of up to 92,392 shares of common stock (the “Placement Agent Warrant Shares” and together with the Common Warrant Shares, the “Warrant Shares”)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are offering up to an aggregate of 1,741,539 Shares of our common stock, issued by us in connection with the Private Placement consisting of (i) 1,649,147 Common Warrant Shares, and (ii) 92,392 Placement Agent Warrant Shares. The following description summarizes the material terms and provisions of our capital stock, including the common stock the selling stockholders may offer under this prospectus. The following description of our capital stock does not purport to be complete and is subject to, and qualified in its entirety by, our amended restated certificate of incorporation (the “Amended and Restated Certificate of Incorporation”) and amended and restated bylaws (the “Amended and Restated Bylaws”), which are exhibits to the registration statement of which this prospectus forms a part, and by applicable law. The terms of our capital stock may also be affected by Delaware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two hundred and fifty million (250,000,000) shares of common stock, $0.01 par value per share, and one hundred thirty million (130,000,000) shares of preferred stock, $0.01 par value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20, 2025, there were 3,683,989 shares of common stock outstanding. Each outstanding share of common stock entitles the holder thereof to one vote per share on all matters. Our Amended and Restated Bylaws provide that any vacancy occurring in the Board of Directors may be filled by the affirmative vote of a majority of the remaining directors. Stockholders do not have preemptive rights to purchase shares in any future issuance of our common stock. In the event of our liquidation, dissolution or winding up, holders of our common stock are entitled to receive, ratably, the net assets available to stockholders after payment of all creditors.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the stockholders, and do not have cumulative voting rights. Accordingly, the holders of a majority of the shares of our common stock entitled to vote can elect all directors standing for election. Subject to preferences that may be applicable to any outstanding shares of preferred stock, holders of our common stock are entitled to receive ratably such dividends, if any, as may be declared from time to time by our Board of Directors out of funds legally available for dividend payments. All outstanding shares of our common stock are fully paid and nonassessable, and any shares of our common stock to be sold pursuant to this prospectus will be fully paid and nonassessable. The holders of common stock have no preferences or rights of conversion, exchange, pre-emption, or other subscription rights. There are no redemption or sinking fund provisions applicable to our common stock. In the event of any liquidation, dissolution or winding-up of our affairs, holders of our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Equinity Trust Company, LLC. The transfer agent and the registrar’s address is 48 Wall St., Floor 23, New York, NY 10005. Our common stock is listed on The Nasdaq Capital Market under the symbol “SINT.”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the authority under our Amended and Restated Certificate of Incorporation, without further action by our stockholders, to issue up to 130,000,000 shares of preferred stock in one or more series, to establish from time to time the number of shares to be included in each such series, to fix the rights, preferences, privileges and restrictions of the shares of each wholly unissued series, including dividend rights, conversion rights, voting rights, terms of redemption, liquidation preference and sinking fund terms, and to increase or decrease the number of shares of any such series (but not below the number of shares of such series then outstanding).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have the effect of restricting dividends on our common stock, diluting the voting power of our common stock, impairing the liquidation rights of our common stock or otherwise adversely affecting the rights of holders of our common stock. The issuance of preferred stock, while providing flexibility in connection with possible acquisitions and other corporate purposes, could, among other things, have the effect of delaying, deferring or preventing a change of control and may adversely affect the market price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designated 15,000 shares of our preferred stock as Series B Preferred Stock. There are currently 19 shares of Series B Preferred stock outstanding which are convertible into 7,385 shares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share of Series B Preferred Stock is convertible into shares of our common stock at any time at the holder’s option at the Conversion Price described below. We may not effect any conversion of Series B Preferred Stock, with certain exceptions, to the extent that, after giving effect to an attempted conversion, the holder of Series B Preferred Stock (together with such holder’s affiliates, and any persons acting as a group together with such holder or any of such holder’s affiliates) would beneficially own a number of shares of common stock in excess of 4.99% (or, at the election of the holder, 9.99%) of the shares of our common stock then outstanding after giving effect to such conversion, referred to as the Preferred Stock Beneficial Ownership Limitation; provided, however, that upon notice to the Company, the holder may increase or decrease the Preferred Stock Beneficial Ownership Limitation, provided that in no event may the Preferred Stock Beneficial Ownership Limitation exceed 9.99% and any increase in the Preferred Stock Beneficial Ownership Limitation will not be effective until 61 days following notice of such increase from the holder to us.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ownership limitations as described below and certain equity conditions being met, if during any 30 consecutive trading days, the volume weighted average price of our common stock exceeds $13,060.80 and the daily dollar trading volume during such period exceeds $500,000 per trading day, we have the right to force the conversion of the Series B Preferred Stock into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Price.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Series B Preferred Stock is convertible into shares of common stock by dividing the stated value of the Series B Preferred Stock ($1,100) by $2.83 (the “Conversion Price”). The Conversion Price is subject to adjustment for stock splits, stock dividends, and distributions of common stock or securities convertible, exercisable or exchangeable for common stock, subdivisions, combinations and reclassifications.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certain exclusions contained in the certificate of designation, if the Company in any manner grants or sells any rights, warrants or options and the lowest price per share for which one share of common stock is at any time issuable upon the exercise of any such option or upon conversion, exercise or exchange of any common stock Equivalents (as defined in the certificate of designation) issuable upon exercise of any such option, exercise or exchange of any common stock Equivalent issuable upon the exercise of such option or otherwise pursuant to the terms thereof is less than the Conversion Price, then such share of common stock will be deemed to be outstanding and to have been issued and sold by the Company at the time of the granting or sale of such option for such price per share. For purposes of this paragraph only, the “lowest price per share for which one share of common stock is issuable upon the exercise of any such options or upon conversion, exercise or exchange of any common stock Equivalent issuable upon exercise of any such option or otherwise pursuant to the terms thereof” will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common stock Equivalents issuable upon exercise of such option or otherwise pursuant to the terms thereof and (y) the lowest exercise price set forth in such option for which one share of common stock is issuable upon the exercise of any such options or upon conversion, exercise or exchange of any common stock Equivalents issuable upon exercise of any such option or otherwise pursuant to the terms thereof. Except as contemplated by the terms of the certificate of designation, no further adjustment of the Conversion Price will be made upon the actual issuance of such shares of common stock or of such convertible securities upon the exercise of such options or otherwise pursuant to the terms of or upon the actual issuance of such common stock Equivalents.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52" w:lineRule="auto"/>
        <w:rPr>
          <w:sz w:val="20"/>
          <w:szCs w:val="20"/>
          <w:color w:val="auto"/>
        </w:rPr>
      </w:pPr>
      <w:r>
        <w:rPr>
          <w:rFonts w:ascii="Times New Roman" w:cs="Times New Roman" w:eastAsia="Times New Roman" w:hAnsi="Times New Roman"/>
          <w:sz w:val="18"/>
          <w:szCs w:val="18"/>
          <w:color w:val="auto"/>
        </w:rPr>
        <w:t>Subject to certain exclusions contained in the certificate of designation, if the Company in any manner issues or sells any common stock Equivalents and the lowest price per share for which one share of common stock is at any time issuable upon the conversion, exercise or exchange thereof or otherwise pursuant to the terms thereof is less than the Conversion Price, then such share of common stock will be deemed to be outstanding and to have been issued and sold by the Company at the time of the issuance or sale of such convertible securities for such price per share. For purposes of this paragraph only, the “lowest price per share for which one share of common stock is issuable upon the conversion, exercise or exchange thereof or otherwise pursuant to the terms thereof” will be equal to (1) the lower of  (x) the sum of the lowest amounts of consideration (if any) received or receivable by the Company with respect to one share of common stock upon the issuance or sale of the common stock Equivalent and upon conversion, exercise or exchange of such convertible security or otherwise pursuant to the terms thereof and (y) the lowest conversion price set forth in such convertible security for which one share of common stock is issuable upon conversion, exercise or exchange thereof or otherwise pursuant to the terms thereof minus (2) the sum of all amounts paid or payable to the holder of such common stock Equivalent (or any other person) upon the issuance or sale of such common stock Equivalent plus the value of any other consideration received or receivable by, or benefit conferred on, the holder of such common stock Equivalent (or any other person). Except as contemplated by the terms of the certificate of designation, no further adjustment of the Conversion Price will be made upon the actual issuance of such shares of common stock upon conversion, exercise or exchange of such common stock Equivalents or otherwise pursuant to the terms thereof, and if any such issuance or sale of such common stock Equivalents is made upon exercise of any options for which adjustment of the Conversion Price has been or is to be made, except as contemplated by the terms of the certificate of designation, no further adjustment of the Conversion Price will be made by reason of such issuance or sale.</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stock dividends, splits or combination of outstanding common stock) the Conversion Price in effect at the time of such increase or decrease will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If the terms of any option or convertible security that was outstanding as of the date of issuance of the Preferred Stock and related Warrants are increased or decreased in the manner described in the immediately preceding sentence, then such option or convertible security and the shares of common stock deemed issuable upon exercise, conversion or exchange thereof will be deemed to have been issued as of the date of such increase or decrease. No adjustment will be made if such adjustment would result in an increase of the Conversion Price then in effect.</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any option and/or convertible security and/or Adjustment Right is issued in connection with the issuance or sale or deemed issuance or sale of any other securities of the Company (as determined by the holder of Preferred Stock, the “Primary Security”, and such option and/or convertible security and/or Adjustment Right (as defined below), the “Secondary Securities” and together with the Primary Security, each a “unit”), together comprising one integrated transaction, the aggregate consideration per share of common stock with respect to such Primary Security will be deemed to be the lower of   (x) the purchase price of such unit, (y) if such Primary Security is an option and/or convertible security, the lowest price per share for which one share of common stock is at any time issuable upon the exercise or conversion of the Primary Security in accordance with the paragraphs above and (z) the lowest volume-weighted average price of the common stock on any trading day during the four trading day period immediately following the public announcement of such dilutive issuance.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volume-weighted average prices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“Valuation Event”), the fair value of such consideration will be determined within five trading days after the tenth day following such Valuation Event by an independent, reputable appraiser jointly selected by the Company and the holder.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“Adjustment Right” means any right granted with respect to any securities issued in connection with, or with respect to, any issuance or sale (or deemed issuance or sale in accordance with the paragraph above) of shares of common stock that could result in a decrease in the net consideration received by the Company in connection with, or with respect to, such securities (including, without limitation, any cash settlement rights, cash adjustment or other similar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holders of Preferred Stock may be eligible to elect an alternative price in the event we issue certain variable price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Dividends; Repurchases.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liquidation, the holders of Series B Preferred Stock are entitled to participate on an as-converted-to-common stock basis with holders of the common stock in any distribution of assets of the Company to the holders of the common stock. Additionally, we will not pay any dividends on shares of common stock (other than dividends in the form of common stock) unless and until such time as we pay dividends on each Series B Preferred Share on an as-converted basis. Other than as set forth in the previous sentence, no other dividends will be paid on Series B Preferred Stock and we will pay no dividends (other than dividends in the form of common stock) on shares of common stock unless we simultaneously comply with the previous sentence.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Right.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an option to redeem some or all of the Series B Preferred Stock at any time after the six-month anniversary of its issuance date at a 25% premium to the stated value of the Series B Preferred Stock subject to redemption, upon 30 days prior written notice to the holder of the Series B Preferred Stock. The Series B Preferred Stock would be redeemed by the Company for cash.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any fundamental transaction, generally including any merger with or into another entity, sale of all or substantially all of our assets, tender offer or exchange offer, or reclassification of our common stock, then upon any subsequent conversion of the Series B Preferred Stock, the holder will have the right to receive as alternative consideration, for each share of our common stock that would have been issuable upon such conversion immediately prior to the occurrence of such fundamental transaction, the number of shares of common stock of the successor or acquiring corporation or of our company, if it is the surviving corporation, and any additional consideration receivable upon or as a result of such transaction by a holder of the number of shares of our common stock for which the Series B Preferred Stock is convertible immediately prior to such event.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certain exceptions, the holders of shares of Series B Preferred Stock have no voting rights. However, as long as any shares of Series B Preferred Stock remain outstanding, we may not, without the affirmative vote of holders of a majority of the then-outstanding Series B Preferred Stock, (a) alter or change adversely the powers, preferences or rights given to the Series B Preferred Stock or alter or amend the certificate of designation, (b) increase the number of authorized shares of Series B Preferred Stock, (c) amend our Amended and Restated Certificate of Incorporation or other charter documents in any manner that adversely affects any rights of holders of Series B Preferred Stock disproportionately to the rights of holders of our other capital stock, or (d) enter into any agreement with respect to any of the foregoing.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Jurisdiction and Waiver of Trial by Jury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with respect to suits, actions or proceedings arising under the federal securities laws, the certificate of designation provides for investors to consent to exclusive jurisdiction to courts located in New York, New York and provides for a waiver of the right to a trial by jury. It also provides that disputes are governed by Delaware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Preferred Stock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designated 9,440 shares of our preferred stock as Series C Preferred Stock. As of October 20, 2025, there were 50 shares of Series C Preferred stock outstanding which are convertible into 2 shares of our common stock.</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share of Series C Preferred Stock will be convertible at our option at any time on or after the first anniversary of the expiration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Offering or at the option of the holder at any time, into the number of shares of our common stock determined by dividing the $1,000 stated value per share of the Series C Preferred Stock by a conversion price of $ 29,628.00 per share. In addition, the conversion price per share is subject to adjustment for stock dividends, distributions, subdivisions, combinations or reclassifications. Subject to limited exceptions, a holder of the Series C Preferred Stock will not have the right to convert any portion of the Series C Preferred Stock to the extent that, after giving effect to the conversion, the holder, together with its affiliates, would beneficially own in excess of 4.99% of the number of shares of our common stock outstanding immediately after giving effect to its conversion. A holder of the Series C Preferred Stock, upon notice to the Company, may increase or decrease the beneficial ownership limitation provisions of such holder’s Series C Preferred Stock, provided that in no event shall the limitation exceed 9.99% of the number of shares of our common stock outstanding immediately after giving effect to its conversion. In the event that a conversion is effected at our option, we will exercise such option to convert shares of Series C Preferred Stock on a pro rata basis among all of the holders based on such holders’ shares of Series C Preferred Stock.</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Fundamental Transactions. </w:t>
      </w:r>
      <w:r>
        <w:rPr>
          <w:rFonts w:ascii="Times New Roman" w:cs="Times New Roman" w:eastAsia="Times New Roman" w:hAnsi="Times New Roman"/>
          <w:sz w:val="18"/>
          <w:szCs w:val="18"/>
          <w:color w:val="auto"/>
        </w:rPr>
        <w:t>In the event we effect certain mergers, consolidations, sales of substantially all of our assets, tender or exchange offers,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conversion of the Series C Preferred Stock, the holders of the Series C Preferred Stock will have the right to receive any shares of the acquiring corporation or other consideration it would have been entitled to receive if it had been a holder of the number of shares of common stock then issuable upon conversion in full of the Series C Preferred Stock.</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Series C Preferred Stock shall be entitled to receive dividends (on an as-if-converted-to-common-stock basis) in the same form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actually paid on shares of the common stock when, as and if such dividends are paid on shares of common stock.</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Except as otherwise provided in the certificate of designation or as otherwise required by law, the Series C Preferred Stock has no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Upon our liquidation, dissolution or winding-up, whether voluntary or involuntary, holders of Series C Preferred Stock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out of our assets, whether capital or surplus, the same amount that a holder of common stock would receive if the Series C Preferred Stock were fully converted (disregarding for such purpose any conversion limitations under the certificate of designation) to common stock, which amounts shall be paid pari passu with all holders of common stock.</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Rights. </w:t>
      </w:r>
      <w:r>
        <w:rPr>
          <w:rFonts w:ascii="Times New Roman" w:cs="Times New Roman" w:eastAsia="Times New Roman" w:hAnsi="Times New Roman"/>
          <w:sz w:val="18"/>
          <w:szCs w:val="18"/>
          <w:color w:val="auto"/>
        </w:rPr>
        <w:t>We are not obligated to redeem or repurchase any shares of Series C Preferred Stock. Shares of Series C Preferred Stock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entitled to any redemption rights, or mandatory sinking fund or analogous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Preferred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designated 4,656 shares of our preferred stock as Series D Preferred Stock. As of October 20, 2025, there were 180 shares of Series D Preferred stock outstanding which are convertible into 60 shares of our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share of Series D Preferred Stock is convertible at the option of the holder at any time, into the number of shares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dividing the $1,000 stated value per share of the Series D Preferred Stock by a conversion price of $ 3,020.40 per share. In addition, the conversion price per share is subject to adjustment for stock dividends, distributions, subdivisions, combinations or reclassifications. Subject to limited exceptions, a holder of the Series D Preferred Stock will not have the right to convert any portion of the Series D Preferred Stock to the extent that, after giving effect to the conversion, the holder, together with its affiliates, would beneficially own in excess of 4.99% of the number of shares of our common stock outstanding immediately after giving effect to its conversion. A holder of the Series D Preferred Stock, upon notice to us, may increase or decrease the beneficial ownership limitation provisions of such holder’s Series D Preferred Stock, provided that in no event shall the limitation exceed 9.99% of the number of shares of our common stock outstanding immediately after giving effect to its conversion.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Fundamental Transactions. </w:t>
      </w:r>
      <w:r>
        <w:rPr>
          <w:rFonts w:ascii="Times New Roman" w:cs="Times New Roman" w:eastAsia="Times New Roman" w:hAnsi="Times New Roman"/>
          <w:sz w:val="18"/>
          <w:szCs w:val="18"/>
          <w:color w:val="auto"/>
        </w:rPr>
        <w:t>In the event we effect certain mergers, consolidations, sales of substantially all of our assets, tender or exchange offers,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conversion of the Series D Preferred Stock, the holders of the Series D Preferred Stock will have the right to receive any shares of the acquiring corporation or other consideration it would have been entitled to receive if it had been a holder of the number of shares of common stock then issuable upon conversion in full of the Series D Preferred Stock.</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Series D Preferred Stock shall be entitled to receive dividends (on an as-if-converted-to-common-stock basis) in the same form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actually paid on shares of the common stock when, as and if such dividends are paid on shares of common stock.</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Except as otherwise provided in the certificate of designation or as otherwise required by law, the Series D Preferred Stock has no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Upon our liquidation, dissolution or winding-up, whether voluntary or involuntary, holders of Series D Preferred Stock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out of our assets, whether capital or surplus, the same amount that a holder of common stock would receive if the Series D Preferred Stock were fully converted (disregarding for such purpose any conversion limitations under the certificate of designation) to common stock, which amounts shall be paid pari passu with all holders of common stock.</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Rights. </w:t>
      </w:r>
      <w:r>
        <w:rPr>
          <w:rFonts w:ascii="Times New Roman" w:cs="Times New Roman" w:eastAsia="Times New Roman" w:hAnsi="Times New Roman"/>
          <w:sz w:val="18"/>
          <w:szCs w:val="18"/>
          <w:color w:val="auto"/>
        </w:rPr>
        <w:t>We are not obligated to redeem or repurchase any shares of Series D Preferred Stock. Shares of Series D Preferred Stock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entitled to any redemption rights, or mandatory sinking fund or analogous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Preferred Stock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will fix the rights, preferences, privileges, qualifications and restrictions of the preferred stock of each series that we may sell. 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Description of Other Outstanding Securities of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October 20, 2025, including the Warrants, there were 3,147,346 common stock purchase warrants outstanding, which expire between September 2027 and March 2031. Each of these warrants entitles the holder to purchase one share of common stock at prices ranging between $2.83 and $3,322.40 per share. Certain of these warrants has a net exercise provision under which its holder may, in lieu of payment of the exercise price in cash, surrender the warrant and receive a net amount of shares based on the fair market value of our common stock at the time of exercise of the warrant after deduction of the aggregate exercise price. Additionally, certain of these warrants entitle a holder to also effect an “alternative cashless exercise” wherein the holder may surrender a certain number of warrants in return for a lesser number of shares of our common stock on a cashless basis. Each of these warrants also contains provisions for the adjustment of the exercise price and the aggregate number of shares issuable upon the exercise of the warrant in the event of dividends, share splits, reorganizations and reclassifications and consolidations. Certain of these warrants contain a provision requiring a reduction to the exercise price in the event we issue common stock, or securities convertible into or exercisable for common stock, at a price per share lower than the warrant exercise price.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certain of these warrants have registration rights, as described in greater detail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Common Warrants, and Placement Agent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Common Warrants are exercisable immediately upon issuance and have a term of exercise equal to five and one-half years from the date of issuance. If a registration statement registering the resale of the shares of common stock underlying the Common Warrants under the Securities Act, is not effective or available, the holder may, in its sole discretion, elect to exercise the Common Warrants through a cashless exercise, in which case the holder would receive upon such exercise the net number of shares of common stock determined according to the formula set forth in the Common Warrants. No fractional shares of common stock will be issued upon the exercise of any Common Warrant. In lieu of fractional shares, we will pay the holder an amount in cash equal to the fractional amount multiplied by the exercise price or round up to the next whole share.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Placement Agent Warrants will be exercisable immediately upon issuance and have a term of exercise equal to five and one-half years from the date of issuance. If a registration statement registering the resale of the shares of common stock underlying the Placement Agent Warrants under the Securities Act, is not effective or available, the holder may, in its sole discretion, elect to exercise the Placement Agent Warrants through a cashless exercise, in which case the holder would receive upon such exercise the net number of shares of common stock determined according to the formula set forth in the Placement Agent Warrants. No fractional shares of common stock will be issued upon the exercise of any Placement Agent Warrant. In lieu of fractional shares, we will pay the holder an amount in cash equal to the fractional amount multiplied by the exercise price or round up to the next whole share.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If a Fundamental Transaction (as defined in the respective Warrants) occurs, then the successor entity will succeed to, and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substituted for the Company, and may exercise every right and power that the Company may exercise and will assume all of the Company’s obligations under the Warrants with the same effect as if such successor entity had been named in the Warrants itself. If holders of shares of common stock are given a choice as to the securities, cash or property to be received in such a Fundamental Transaction, then the holder shall be given the same choice as to the consideration it would receive upon any exercise of the Warrants following such a Fundamental Transaction. Additionally, as more fully described in the Common Warrants and Placement Agent Warrants, in the event of certain Fundamental Transactions, the holders of the Common Warrants and Placement Agent Warrants will be entitled to receive consideration in an amount equal to the Black Scholes Value (as defined in the respective Warrants), on the date of consummation of such Fundamental Transaction.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Stock Dividends and Splits</w:t>
      </w:r>
      <w:r>
        <w:rPr>
          <w:rFonts w:ascii="Times New Roman" w:cs="Times New Roman" w:eastAsia="Times New Roman" w:hAnsi="Times New Roman"/>
          <w:sz w:val="18"/>
          <w:szCs w:val="18"/>
          <w:color w:val="auto"/>
        </w:rPr>
        <w:t>. If at any time on or after the date of issuance there occurs any share split, share dividend, share combination recapitalization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similar transaction involving our common stock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the Warrant shall be proportionately adjusted such that the aggregate exercise price of the Warrant shall remain unchanged.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Beneficial Ownership Limitations. </w:t>
      </w:r>
      <w:r>
        <w:rPr>
          <w:rFonts w:ascii="Times New Roman" w:cs="Times New Roman" w:eastAsia="Times New Roman" w:hAnsi="Times New Roman"/>
          <w:sz w:val="18"/>
          <w:szCs w:val="18"/>
          <w:color w:val="auto"/>
        </w:rPr>
        <w:t>A holder will not have the right to exercise any portion of the Warrants if the holder (together with its affiliates)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in excess of 4.99% (or, upon election by a holder prior to the issuance of any warrants, 9.99%) of the number of shares of common stock outstanding immediately after giving effect to the exercise, as such percentage ownership is determined in accordance with the terms of the Warrants and Pre-Funded Warrants. However, any holder may increase or decrease such percentage to any other percentage not in excess of 9.99%, upon at least 61 days’ prior notice from the holder to us with respect to any increase in such percentage.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Pre-Funded Warrants, Common Warrants, and Placement Agent Warrants is not complete. For the complete terms of the Pre-Funded Warrants, Common Warrants, and Placement Agent Warrants, please refer to the forms of the Pre-Funded Warrants, Common Warrants, and Placement Agent Warrants filed as exhibits to the registration statement of which this prospectus forms a part.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intend to list the Pre-Funded Warrants, the Common Warrants, or the Placement Agent Warrants on any securities exchange or other trading market. Without an active trading market, the liquidity of these securities will be limited.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February 2025 Offering Pre-Funded Warrants, Placement Agent Warrants and Common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October 20, 2025, there are 257,170 pre-funded warrants outstanding that are immediately exercisable and may be exercised at any time until all of the pre-funded warrants are exercised in full (the “February 2025 Pre-Funded Warrants”). The February 2025 Pre-Funded Warrants may be exercised on a cashless basis at any time, in which case the holder would receive upon such exercise the net number of shares of common stock determined according to the formula set forth in the February 2025 Pre-Funded Warrants. No fractional shares of common stock will be issued in connection with the exercise of a February 2025 Pre-Funded Warrant. In lieu of fractional shares, we will pay the holder an amount in cash equal to the fractional amount multiplied by the exercise price or round up to the next whole share.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placement agent warrants issued in February 2025 were exercisable immediately upon issuance and have a term of exercise equal to five and one-half years from the date of issuance (the “February 2025 Placement Agent Warrants”). If a registration statement registering the resale of the shares of common stock underlying the February 2025 Placement Agent Warrants under the Securities Act, is not effective or available, the holder may, in its sole discretion, elect to exercise the February 2025 Placement Agent Warrants through a cashless exercise, in which case the holder would receive upon such exercise the net number of shares of common stock determined according to the formula set forth in the February 2025 Placement Agent Warrants. No fractional shares of common stock will be issued upon the exercise of any February 2025 Placement Agent Warrant. In lieu of fractional shares, we will pay the holder an amount in cash equal to the fractional amount multiplied by the exercise price or round up to the next whole share.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common warrants are exercisable immediately upon issuance and have a term of exercise equal to five and one-half years from the date of issuance (the “February 2025 Common Warrants”). If a registration statement registering the resale of the shares of common stock underlying the February 2025 Common Warrants under the Securities Act, is not effective or available, the holder may, in its sole discretion, elect to exercise the February 2025 Common Warrants through a cashless exercise, in which case the holder would receive upon such exercise the net number of shares of common stock determined according to the formula set forth in the February 2025 Common Warrants. No fractional shares of common stock will be issued upon the exercise of any February 2025 Common Warrant. In lieu of fractional shares, we will pay the holder an amount in cash equal to the fractional amount multiplied by the exercise price or round up to the next whole share.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Fundamental Transaction. </w:t>
      </w:r>
      <w:r>
        <w:rPr>
          <w:rFonts w:ascii="Times New Roman" w:cs="Times New Roman" w:eastAsia="Times New Roman" w:hAnsi="Times New Roman"/>
          <w:sz w:val="18"/>
          <w:szCs w:val="18"/>
          <w:color w:val="auto"/>
        </w:rPr>
        <w:t>If a Fundamental Transaction (as defined in the respective February 2025 Common Warrants) occurs, then the successor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succeed to, and be substituted for the Company, and may exercise every right and power that the Company may exercise and will assume all of the Company’s obligations under the February 2025 Common Warrants with the same effect as if such successor entity had been named in the February 2025 Common Warrants itself. If holders of shares of common stock are given a choice as to the securities, cash or property to be received in such a Fundamental Transaction, then the holder shall be given the same choice as to the consideration it would receive upon any exercise of the February 2025 Common Warrants following such a Fundamental Transaction. Additionally, as more fully described in the February 2025 Common Warrants and February 2025 Placement Agent Warrants, in the event of certain Fundamental Transactions, the holders of the February 2025 Common Warrants and February 2025 Placement Agent Warrants will be entitled to receive consideration in an amount equal to the Black Scholes Value (as defined in the respective Warrants), on the date of consummation of such Fundamental Transaction.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Dividends and Splits. </w:t>
      </w:r>
      <w:r>
        <w:rPr>
          <w:rFonts w:ascii="Times New Roman" w:cs="Times New Roman" w:eastAsia="Times New Roman" w:hAnsi="Times New Roman"/>
          <w:sz w:val="18"/>
          <w:szCs w:val="18"/>
          <w:color w:val="auto"/>
        </w:rPr>
        <w:t>If at any time on or after the date of issuance there occurs any share split, share dividend, share combination recapitalization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similar transaction involving our common stock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the February 2025 Common Warrant shall be proportionately adjusted such that the aggregate exercise price of the February 2025 Common Warrant shall remain unchanged.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Beneficial Ownership Limitations. </w:t>
      </w:r>
      <w:r>
        <w:rPr>
          <w:rFonts w:ascii="Times New Roman" w:cs="Times New Roman" w:eastAsia="Times New Roman" w:hAnsi="Times New Roman"/>
          <w:sz w:val="18"/>
          <w:szCs w:val="18"/>
          <w:color w:val="auto"/>
        </w:rPr>
        <w:t>A holder will not have the right to exercise any portion of the February 2025 Common Warrants if the holder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its affiliates) would beneficially own in excess of 4.99% (or, upon election by a holder prior to the issuance of any warrants, 9.99%) of the number of shares of common stock outstanding immediately after giving effect to the exercise, as such percentage ownership is determined in accordance with the terms of the February 2025 Common Warrants and February 2025 Pre-Funded Warrants. However, any holder may increase or decrease such percentage to any other percentage not in excess of 9.99%, upon at least 61 days’ prior notice from the holder to us with respect to any increase in such percentage.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February 2025 Pre-Funded Warrants, February 2025 Common Warrants, and February 2025 Placement Agent Warrants is not complete. For the complete terms of the February 2025 Pre-Funded Warrants, February 2025 Common Warrants, and February 2025 Placement Agent Warrants, please refer to the forms of the February 2025 Pre-Funded Warrants, February 2025 Common Warrants, and February 2025 Placement Agent Warrants filed as exhibits to the registration statement of which this prospectus forms a part.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intend to list the February 2025 Pre-Funded Warrants, the February 2025 Common Warrants, or the February 2025 Placement Agent Warrants on any securities exchange or other trading market. Without an active trading market, the liquidity of these securities will be limited.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Offering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7, 2023, we issued a Class C common stock purchase warrant to purchase up to 10,750 shares of common stock (the “Class C Warrants”) and a Class D common stock purchase warrant to purchase up to 5,375 shares of common stock (the “Class D Warrants”). The Class C and Class D Warrants are exercisable at a price of $1,120 per share. The Class C Warrants will expire five years from the date of issuance and the Class D Warrants will expire three years from the date of issuance. In addition, a holder may also effect an “alternative cashless exercise” wherein the aggregate number of shares of common stock issuable in such alternative cashless exercise shall equal the product of (x) the aggregate number of shares of common stock that would be issuable upon exercise of the Class C Warrant or Class D Warrant in accordance with the terms of such warrant if such exercise were by means of a cash exercise rather than a cashless exercise and (y) 0.40 with respect to the Class C Warrant or 0.80 with respect to the Class D Warrant.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Class C Warrants, and Class D Warrants is not complete and is subject to, and qualified in its entirety by the provisions of the form of Class C Warrant, and the form of Class D Warrant, which are filed as exhibits to this registration statement.</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Class C Warrants are exercisable at any time after their original issuance and at any time up to the date that is five years after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 issuance. The Class D Warrants are exercisable at any time after their original issuance and at any time up to the date that is three years after their original issuance. Each of the Class C Warrants, Class D Warrants, are exercisable, at the option of each holder, in whole or in part by delivering to us a duly executed exercise notice and, at any time a registration statement registering the issuance of the shares of common stock underlying the Class C Warrants or Class D Warrants, under the Securities Act is effective and available for the issuance of such shares, by payment in full in immediately available funds for the number of shares of common stock purchased upon such exercise. If a registration statement registering the issuance of the shares of common stock underlying the Class C Warrants, Class D Warrants, under the Securities Act is not effective or available, the holder may, in its sole discretion, elect to exercise the Class C Warrant or Class D Warrant, through a cashless exercise, in which case the holder would receive upon such exercise the net number of shares of common stock determined according to the formula set forth in the warrant. We may be required to pay certain amounts as liquidated damages as specified in the warrants in the event we do not deliver shares of common stock upon exercise of the warrants within the time periods specified in the warrants. In addition, a holder may also effect an “alternative cashless exercise.” In such event, the aggregate number of shares of common stock issuable in such alternative cashless exercise shall equal the product of (x) the aggregate number of shares of common stock that would be issuable upon exercise of the Class C Warrant or Class D Warrant in accordance with the terms of such warrant if such exercise were by means of a cash exercise rather than a cashless exercise and (y) 0.40 with respect to the Class C Warrant or 0.80 with respect to the Class D Warrant. No fractional shares of common stock will be issued in connection with the exercise of a Class C Warrant or Class D Warrant. With respect to any alternative cashless exercise, fractional shares will be rounded down to the nearest whole share.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Fractional Shares. </w:t>
      </w:r>
      <w:r>
        <w:rPr>
          <w:rFonts w:ascii="Times New Roman" w:cs="Times New Roman" w:eastAsia="Times New Roman" w:hAnsi="Times New Roman"/>
          <w:sz w:val="18"/>
          <w:szCs w:val="18"/>
          <w:color w:val="auto"/>
        </w:rPr>
        <w:t>No fractional shares of common stock will be issued in connection with the exercise of a warrant. Other than as described above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alternative cashless exercises, in lieu of fractional shares, we will, at our election, either pay the holder an amount in cash equal to the fractional amount multiplied by the exercise price or round up to the next whole share.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Exercise Limitation</w:t>
      </w:r>
      <w:r>
        <w:rPr>
          <w:rFonts w:ascii="Times New Roman" w:cs="Times New Roman" w:eastAsia="Times New Roman" w:hAnsi="Times New Roman"/>
          <w:sz w:val="18"/>
          <w:szCs w:val="18"/>
          <w:color w:val="auto"/>
        </w:rPr>
        <w:t>. A holder will not have the right to exercise any portion of the Class C Warrants, or Class D Warrants if the holder (together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would beneficially own in excess of 4.99% (or, upon election by a holder prior to the issuance of any warrants, 9.99%) of the number of shares of our common stock outstanding immediately after giving effect to the exercise, as such percentage ownership is determined in accordance with the terms of the warrants. However, any holder may increase or decrease such percentage to any other percentage not in excess of 9.99%, upon at least 61 days’ prior notice from the holder to us with respect to any increase in such percentage.</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per whole share of common stock purchasable upon exercise of the Class C Warrants and the Class D Warrants is $1,120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share. The exercise price and number of shares of common stock issuable on exercise are subject to appropriate adjustments in the event of certain stock dividends and distributions, stock splits, stock combinations, reclassifications or similar events affecting our common stock.</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the Class C Warrants and Class D Warrants may be offered for sale, sold, transferred or assigned without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We do not intend to list the Class C Warrants or the Class D Warrants on any securities exchange or other trading market. Without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trading market, the liquidity of these securities will be limited.</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Warrant Agent</w:t>
      </w:r>
      <w:r>
        <w:rPr>
          <w:rFonts w:ascii="Times New Roman" w:cs="Times New Roman" w:eastAsia="Times New Roman" w:hAnsi="Times New Roman"/>
          <w:sz w:val="18"/>
          <w:szCs w:val="18"/>
          <w:color w:val="auto"/>
        </w:rPr>
        <w:t>. The Class C Warrants and Class D Warrants are issued in registered form under a warrant agreement between American Stock Transfer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Company, LLC, as warrant agent, and us. The Class C Warrants and Class D Warrants shall initially be represented only by one or more global warrants deposited with the warrant agent, as custodian on behalf of The Depository Trust Company (“DTC”) and registered in the name of Cede &amp; Co., a nominee of DTC, or as otherwise directed by DTC.</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In the event of a fundamental transaction, and generally including, with certain exceptions, any reorganization, recapitalization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reclassification of our common stock, the sale, transfer or other disposition of all or substantially all of our properties or assets, our consolidation or merger with or into another person, the acquisition of more than 50% of our outstanding shares of common stock, or any person or group becoming the beneficial owner of 50% of the voting power represented by our outstanding shares of common stock, the holders of the Class C Warrants and Class D Warrants will be entitled to receive upon exercise of the warrants the kind and amount of securities, cash or other property that the holders would have received had they exercised the warrants immediately prior to such fundamental transaction. In addition, in the event of a fundamental transaction, we or the successor entity, at the request of a holder of Class C Warrants or Class D Warrants, will be obligated to purchase any unexercised portion of such Class C Warrants or Class D Warrants in accordance with the terms of the warrants. Additionally, as more fully described in the warrants, in the event of certain fundamental transactions, the holders of the warrants will be entitled to receive consideration in an amount equal to the Black Scholes value of the warrants on the date of consummation of such transaction.</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Shareholder</w:t>
      </w:r>
      <w:r>
        <w:rPr>
          <w:rFonts w:ascii="Times New Roman" w:cs="Times New Roman" w:eastAsia="Times New Roman" w:hAnsi="Times New Roman"/>
          <w:sz w:val="18"/>
          <w:szCs w:val="18"/>
          <w:color w:val="auto"/>
        </w:rPr>
        <w:t>. Except as otherwise provided in the Class C Warrants and Class D Warrants or by virtue of such holder’s ownership of our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the holder of a Class C Warrant or Class D Warrant does not have the rights or privileges of a holder of our common stock, including any voting rights, until the holder exercises the warrant.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Class C Warrants, Class D Warrants, and warrant agreement are governed by New York law.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Maxim and Ascendiant February 2023 Warrants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February 2023 Offering, the Company issued (i) to Maxim Group LLC (“Maxim”), as the Company’s sole placement agent for the February 2023 Offering, 366 warrants to purchase shares of the Company’s common stock and (ii) to Ascendiant Capital Markets, LLC (“Ascendiant”), as a financial advisor to the Company in the February 2023 Offering, 65 warrants to purchase shares of the Company’s common stock (collectively, the “February 2023 Placement Agent Warrants”). The February 2023 Placement Agent Warrants will expire on February 7, 2028. The February 2023 Placement Agent Warrants are exercisable at a price of $1,232 per share, subject to adjustment for stock dividends, distributions, subdivisions, combinations, or reclassifications, and for certain dilutive issuances. Subject to limited exceptions, a holder of the February 2023 Placement Agent Warrants will not have the right to exercise any portion of the Placement Agent Warrants to the extent that, after giving effect to the exercise, the holder, together with its affiliates, and any other person acting as a group together with the holder or any of its affiliates, would beneficially own in excess of 4.99% of the number of shares of the Company’s common stock outstanding immediately after giving effect to its exercise. The holder, upon notice to the Company, may increase or decrease the beneficial ownership limitation provisions of the February 2023 Placement Agent Warrants, provided that in no event shall the limitation exceed 9.99% of the number of shares of our common stock outstanding immediately after giving effect to the exercise of the February 2023 Placement Agent Warrants. The February 2023 Placement Agent Warrants may be exercised as to all or a lesser number of shares of the Company’s common stock and contain certain demand registration rights and unlimited “piggyback” registration rights for a period of five years after February 7, 2023, at the Company’s expense. The Company relied on the exemption from registration available under Section 4(a)(2) of the Securities Act in connection with the issuance of the February 2023 Placement Agent Warrants to Maxim and Ascendiant.</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February 2023 Placement Agent Warrants is not complete. For the complete terms of the Placement Agent Warrants, you should refer to the form of February 2023 Placement Agent Warrant filed as an exhibit to this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Maxim and Ascendiant October 2022 Warrants</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connection with the October 2022 Rights Offering, the Company issued (i) to Maxim, as the dealer-manager in the October 2022 Rights Offering, 53 warrants to purchase shares of the Company’s common stock and (ii) to Ascendiant, as a financial advisor to the Company in the October 2022 Rights Offering, 10 warrants to purchase shares of the Company’s common stock (collectively, the “Dealer Manager Warrants”). The Dealer Manager Warrants are non-exercisable for 6 months from October 17, 2022 and will expire on September 23, 2027. The Dealer Manager Warrants will be exercisable at a price of $3,322.40 per share, subject to adjustment for stock dividends, distributions, subdivisions, combinations, or reclassifications, and for certain dilutive issuances. Subject to limited exceptions, a holder of the Dealer Manager Warrants will not have the right to exercise any portion of the Dealer Manager Warrants to the extent that, after giving effect to the exercise, the holder, together with its affiliates, and any other person acting as a group together with the holder or any of its affiliates, would beneficially own in excess of 4.99% of the number of shares of the Company’s common stock outstanding immediately after giving effect to its exercise. The holder, upon notice to the Company, may increase or decrease the beneficial ownership limitation provisions of the Dealer Manager Warrants, provided that in no event shall the limitation exceed 9.99% of the number of shares of our common stock outstanding immediately after giving effect to the exercise of the Dealer Manager Warrants. In addition, the Dealer Manager Warrants shall not be redeemable and may not be sold, transferred, assigned, pledged or hypothecated or be the subject of any hedging, short sale, derivative, put, or call transaction for a period of 180 days following September 23, 2022, except that they may be assigned, in whole or in part, to any officer or partner of Maxim (or to Ascendiant). The Dealer Manager Warrants may be exercised as to all or a lesser number of shares of the Company’s common stock and contain unlimited “piggyback” registration rights for a period of five years after September 23, 2022, at the Company’s expense. The Company relied on the exemption from registration available under Section 4(a)(2) of the Securities Act in connection with the issuance of the Dealer Manager Warrants to Maxim and Ascendiant.</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Dealer Manager Warrants is not complete. For the complete terms of the Dealer Manager Warrants, you should refer to the form of Dealer Manager Warrant filed as an exhibit to the registration statement of which this prospectus forms a part.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Effects of Anti-Takeover Provisions of Our Amended and Restated Certificate of Incorporation, Our Amended and Restated Bylaws and Delaware Law</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provisions of (1) Delaware law, (2) our Amended and Restated Certificate of Incorporation and (3) our Amended and Restated Bylaws discussed below could discourage or make it more difficult to prevail in a proxy contest or effect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our best interests. 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in control of our company. These provisions are designed to reduce our vulnerability to an unsolicited acquisition proposal. These provisions also are intended to discourage certain tactics that may be used in proxy fights. These provisions also may have the effect of preventing changes in our management.</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Delaware Statutory Business Combinations Provision. </w:t>
      </w:r>
      <w:r>
        <w:rPr>
          <w:rFonts w:ascii="Times New Roman" w:cs="Times New Roman" w:eastAsia="Times New Roman" w:hAnsi="Times New Roman"/>
          <w:sz w:val="18"/>
          <w:szCs w:val="18"/>
          <w:color w:val="auto"/>
        </w:rPr>
        <w:t>We are subject to the anti-takeover provisions of Section 203 of the Delaware General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In general,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Classified Board of Directors; Appointment of Directors to Fill Vacancies; Removal of Directors for Cause. </w:t>
      </w:r>
      <w:r>
        <w:rPr>
          <w:rFonts w:ascii="Times New Roman" w:cs="Times New Roman" w:eastAsia="Times New Roman" w:hAnsi="Times New Roman"/>
          <w:sz w:val="18"/>
          <w:szCs w:val="18"/>
          <w:color w:val="auto"/>
        </w:rPr>
        <w:t>Our Amended and Restated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Incorporation provides that our Board of Directors will be divided into three classes as nearly equal in number as possible. Each year the stockholders will elect the members of one of the three classes to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any positions so created and is permitted to specify the class to which any new position is assigned. The person filling any of these positions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holders of at least 80% of our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Authorization of Blank Check Preferred Stock. </w:t>
      </w:r>
      <w:r>
        <w:rPr>
          <w:rFonts w:ascii="Times New Roman" w:cs="Times New Roman" w:eastAsia="Times New Roman" w:hAnsi="Times New Roman"/>
          <w:sz w:val="18"/>
          <w:szCs w:val="18"/>
          <w:color w:val="auto"/>
        </w:rPr>
        <w:t>Our Amended and Restated Certificate of Incorporation provides that our Board of Directors is authorized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without stockholder approval, blank check preferred stock. Blank check preferred stock can operate as a defensive measure known as a “poison pill” by diluting the stock ownership of a potential hostile acquirer to prevent an acquisition that is not approved by our Board of Directors.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Advance Notice Provisions for Stockholder Proposals and Stockholder Nominations of Directors</w:t>
      </w:r>
      <w:r>
        <w:rPr>
          <w:rFonts w:ascii="Times New Roman" w:cs="Times New Roman" w:eastAsia="Times New Roman" w:hAnsi="Times New Roman"/>
          <w:sz w:val="18"/>
          <w:szCs w:val="18"/>
          <w:color w:val="auto"/>
        </w:rPr>
        <w:t>. Our Amended and Restated Bylaws provide that,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nominations to the Board of Directors or for other business to be properly brought by a stockholder before a meeting of stockholders, the stockholder must first have given timely notice of the proposal in writing to our Secretary. For an annual meeting, a stockholder’s notice generally must be delivered not less than 90 days nor more than 120 days prior to the anniversary of the mailing date of the proxy statement for the previous year’s annual meeting. For a special meeting, the notice must generally be delivered no less than 60 days nor more than 90 days prior to the special meeting or ten days following the day on which public announcement of the meeting is first made. Detailed requirements as to the form of the notice and information required in the notice are specified in our Amended and Restated Bylaws. If it is determined that business was not properly brought before a meeting in accordance with our Amended and Restated Bylaws provisions, this business will not be conducted at the meeting.</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Special meetings of the stockholders may be called only by our Board of Directors pursuant to a resolution adopted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total number of directors.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Stockholder Action by Written Consent. </w:t>
      </w:r>
      <w:r>
        <w:rPr>
          <w:rFonts w:ascii="Times New Roman" w:cs="Times New Roman" w:eastAsia="Times New Roman" w:hAnsi="Times New Roman"/>
          <w:sz w:val="18"/>
          <w:szCs w:val="18"/>
          <w:color w:val="auto"/>
        </w:rPr>
        <w:t>Our Amended and Restated Certificate of Incorporation does not permit our stockholders to act by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As a result, any action to be effected by our stockholders must be effected at a duly called annual or special meeting of the stockholders.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Super-Majority Stockholder Vote required for Certain Actions. </w:t>
      </w:r>
      <w:r>
        <w:rPr>
          <w:rFonts w:ascii="Times New Roman" w:cs="Times New Roman" w:eastAsia="Times New Roman" w:hAnsi="Times New Roman"/>
          <w:sz w:val="18"/>
          <w:szCs w:val="18"/>
          <w:color w:val="auto"/>
        </w:rPr>
        <w:t>The Delaware General Corporation Law provides generally that the affirmative vote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shares entitled to vote on any matter is required to amend a corporation’s certificate of incorporation or bylaws, unless the corporation’s certificate of incorporation or bylaws, as the case may be, requires a greater percentage. Our Amended and Restated Certificate of Incorporation requires the affirmative vote of the holders of at least 80% of our outstanding voting stock to amend or repeal any of the provisions discussed in this section of this prospectus entitled “Effect of Anti-Takeover Provisions of Our Amended and Restated Certificate of Incorporation, Our Amended and Restated Bylaws and Delaware Law” or to reduce the number of authorized shares of common stock or preferred stock. This 80% stockholder vote would be in addition to any separate class vote that might in the future be required pursuant to the terms of any preferred stock that might then be outstanding. A 80% vote is also required for any amendment to, or repeal of, our Amended and Restated Bylaws by the stockholders. Our Amended and Restated Bylaws may be amended or repealed by a simple majority vote of the Board of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Effects of Authorized but Unissued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shares of common stock and preferred stock available for future issuance without stockholder approval. We may utilize these additional shares for a variety of corporate purposes, including future public offerings to raise additional capital, to facilitate corporate acquisitions or payment as a dividend on the capital stock.</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existence of unissued and unreserved common stock and preferred stock may enable our Board of Directors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 In addition, the Board of Directors has the discretion to determine designations, rights, preferences, privileges and restrictions, including voting rights, dividend rights, conversion rights, redemption privileges and liquidation preferences of each series of preferred stock, all to the fullest extent permissible under the Delaware General Corporation Law and subject to any limitations set forth in our Amended and Restated Certificate of Incorporation. The purpose of authorizing the Board of Directors to issue preferred stock and to determine the rights and preferences applicable to such preferred stock is to eliminate delays associated with a stockholder vote on specific issuances. The issuance of preferred stock, while providing desirable flexibility in connection with possible financings, acquisitions and other corporate purposes, could have the effect of making it more difficult for a third-party to acquire, or could discourage a third-party from acquiring, a majority of our outstanding voting stock.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of common stock being offered by the selling stockholders consist of the Warrant Shares. We are registering the resale of the Warrant Shares issuable upon exercise of the Warrants in order to permit such selling stockholders to offer the Shares for resale from time to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held by the selling stockholders. The second column lists the number of shares of common stock beneficially owned by such selling stockholder as of October 20, 2025, assuming exercise of the Warrants held by such selling stockholder on that date.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 and does not take into account any limitations on exercise of the Warrants set forth therein.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Warrants, the selling stockholder may not exercise the Warrants to the extent (but only to the extent) such selling stockholder or any of its affiliates would beneficially own a number of shares of our common stock which would exceed 4.99% or 9.99%, as applicable, of the outstanding shares of the Company (the “Beneficial Ownership Limitation”). The Beneficial Ownership Limitation may be increased or decreased, provided that in no event shall it exceed 9.99%, upon notice to us, provided that any increase in the Beneficial Ownership Limitation shall not be effective until 61 days following the receipt of such notice by us. The number of shares included in the table below do not reflect this limitation. The selling stockholder may sell all, some or none of their shares in this offering. See “Plan of Distribution”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ownership percentage indicated in the following table is based on 3,683,989 total outstanding shares of our common stock as of October 20,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computing the number of shares of common stock beneficially owned by the selling stockholder and the percentage ownership, we included outstanding shares of common stock issuable upon exercise of the Warrants that are currently exercisable or exercisable within 60 days of October 20,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9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 Being</w:t>
            </w:r>
          </w:p>
        </w:tc>
        <w:tc>
          <w:tcPr>
            <w:tcW w:w="29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After the Offering</w:t>
            </w:r>
          </w:p>
        </w:tc>
      </w:tr>
      <w:tr>
        <w:trPr>
          <w:trHeight w:val="187"/>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Registered</w:t>
            </w:r>
          </w:p>
        </w:tc>
        <w:tc>
          <w:tcPr>
            <w:tcW w:w="320" w:type="dxa"/>
            <w:vAlign w:val="bottom"/>
          </w:tcPr>
          <w:p>
            <w:pPr>
              <w:spacing w:after="0"/>
              <w:rPr>
                <w:sz w:val="16"/>
                <w:szCs w:val="16"/>
                <w:color w:val="auto"/>
              </w:rPr>
            </w:pPr>
          </w:p>
        </w:tc>
        <w:tc>
          <w:tcPr>
            <w:tcW w:w="1700" w:type="dxa"/>
            <w:vAlign w:val="bottom"/>
            <w:tcBorders>
              <w:top w:val="single" w:sz="8" w:color="auto"/>
            </w:tcBorders>
            <w:gridSpan w:val="3"/>
          </w:tcPr>
          <w:p>
            <w:pPr>
              <w:jc w:val="center"/>
              <w:ind w:right="5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Resale</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tcPr>
          <w:p>
            <w:pPr>
              <w:spacing w:after="0"/>
              <w:rPr>
                <w:sz w:val="20"/>
                <w:szCs w:val="20"/>
                <w:color w:val="auto"/>
              </w:rPr>
            </w:pPr>
          </w:p>
        </w:tc>
      </w:tr>
      <w:tr>
        <w:trPr>
          <w:trHeight w:val="250"/>
        </w:trPr>
        <w:tc>
          <w:tcPr>
            <w:tcW w:w="49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3i, LP </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127,392</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127,392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52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Alto Opportunity Master Fund, SPC - Segregated Master Portfolio</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1"/>
        </w:trPr>
        <w:tc>
          <w:tcPr>
            <w:tcW w:w="5200" w:type="dxa"/>
            <w:vAlign w:val="bottom"/>
            <w:gridSpan w:val="2"/>
          </w:tcPr>
          <w:p>
            <w:pPr>
              <w:spacing w:after="0" w:line="271" w:lineRule="exact"/>
              <w:rPr>
                <w:sz w:val="20"/>
                <w:szCs w:val="20"/>
                <w:color w:val="auto"/>
              </w:rPr>
            </w:pPr>
            <w:r>
              <w:rPr>
                <w:rFonts w:ascii="Times New Roman" w:cs="Times New Roman" w:eastAsia="Times New Roman" w:hAnsi="Times New Roman"/>
                <w:sz w:val="31"/>
                <w:szCs w:val="31"/>
                <w:color w:val="auto"/>
                <w:vertAlign w:val="subscript"/>
              </w:rPr>
              <w:t>B</w:t>
            </w:r>
            <w:r>
              <w:rPr>
                <w:rFonts w:ascii="Times New Roman" w:cs="Times New Roman" w:eastAsia="Times New Roman" w:hAnsi="Times New Roman"/>
                <w:sz w:val="14"/>
                <w:szCs w:val="14"/>
                <w:color w:val="auto"/>
              </w:rPr>
              <w:t xml:space="preserve"> (2)</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108,696</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108,696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CVI Investments, Inc. </w:t>
            </w:r>
            <w:r>
              <w:rPr>
                <w:rFonts w:ascii="Times New Roman" w:cs="Times New Roman" w:eastAsia="Times New Roman" w:hAnsi="Times New Roman"/>
                <w:sz w:val="29"/>
                <w:szCs w:val="29"/>
                <w:color w:val="auto"/>
                <w:vertAlign w:val="superscript"/>
              </w:rPr>
              <w:t>(3)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108,696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108,696</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Intracoastal Capital LLC </w:t>
            </w:r>
            <w:r>
              <w:rPr>
                <w:rFonts w:ascii="Times New Roman" w:cs="Times New Roman" w:eastAsia="Times New Roman" w:hAnsi="Times New Roman"/>
                <w:sz w:val="29"/>
                <w:szCs w:val="29"/>
                <w:color w:val="auto"/>
                <w:vertAlign w:val="superscript"/>
              </w:rPr>
              <w:t>(4)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110,003</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108,696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1,307</w:t>
            </w:r>
          </w:p>
        </w:tc>
        <w:tc>
          <w:tcPr>
            <w:tcW w:w="160" w:type="dxa"/>
            <w:vAlign w:val="bottom"/>
          </w:tcPr>
          <w:p>
            <w:pPr>
              <w:spacing w:after="0"/>
              <w:rPr>
                <w:sz w:val="22"/>
                <w:szCs w:val="2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2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Kevin Patrick Murphy </w:t>
            </w:r>
            <w:r>
              <w:rPr>
                <w:rFonts w:ascii="Times New Roman" w:cs="Times New Roman" w:eastAsia="Times New Roman" w:hAnsi="Times New Roman"/>
                <w:sz w:val="29"/>
                <w:szCs w:val="29"/>
                <w:color w:val="auto"/>
                <w:vertAlign w:val="superscript"/>
              </w:rPr>
              <w:t>(5)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332,523</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130,436</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202,087</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r>
        <w:trPr>
          <w:trHeight w:val="257"/>
        </w:trPr>
        <w:tc>
          <w:tcPr>
            <w:tcW w:w="52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John Edwards </w:t>
            </w:r>
            <w:r>
              <w:rPr>
                <w:rFonts w:ascii="Times New Roman" w:cs="Times New Roman" w:eastAsia="Times New Roman" w:hAnsi="Times New Roman"/>
                <w:sz w:val="29"/>
                <w:szCs w:val="29"/>
                <w:color w:val="auto"/>
                <w:vertAlign w:val="superscript"/>
              </w:rPr>
              <w:t>(6)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264,419</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108,696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155,723</w:t>
            </w:r>
          </w:p>
        </w:tc>
        <w:tc>
          <w:tcPr>
            <w:tcW w:w="160" w:type="dxa"/>
            <w:vAlign w:val="bottom"/>
          </w:tcPr>
          <w:p>
            <w:pPr>
              <w:spacing w:after="0"/>
              <w:rPr>
                <w:sz w:val="22"/>
                <w:szCs w:val="2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57"/>
        </w:trPr>
        <w:tc>
          <w:tcPr>
            <w:tcW w:w="52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MedTech Ceramics, LP </w:t>
            </w:r>
            <w:r>
              <w:rPr>
                <w:rFonts w:ascii="Times New Roman" w:cs="Times New Roman" w:eastAsia="Times New Roman" w:hAnsi="Times New Roman"/>
                <w:sz w:val="29"/>
                <w:szCs w:val="29"/>
                <w:color w:val="auto"/>
                <w:vertAlign w:val="superscript"/>
              </w:rPr>
              <w:t>(7)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1,767,689</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760,881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1,006,808</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r>
      <w:tr>
        <w:trPr>
          <w:trHeight w:val="257"/>
        </w:trPr>
        <w:tc>
          <w:tcPr>
            <w:tcW w:w="52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The Paul and Jennifer Walker Revocable Management Trust </w:t>
            </w:r>
            <w:r>
              <w:rPr>
                <w:rFonts w:ascii="Times New Roman" w:cs="Times New Roman" w:eastAsia="Times New Roman" w:hAnsi="Times New Roman"/>
                <w:sz w:val="29"/>
                <w:szCs w:val="29"/>
                <w:color w:val="auto"/>
                <w:vertAlign w:val="superscript"/>
              </w:rPr>
              <w:t>(8)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188,624</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108,696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79,928</w:t>
            </w:r>
          </w:p>
        </w:tc>
        <w:tc>
          <w:tcPr>
            <w:tcW w:w="160" w:type="dxa"/>
            <w:vAlign w:val="bottom"/>
          </w:tcPr>
          <w:p>
            <w:pPr>
              <w:spacing w:after="0"/>
              <w:rPr>
                <w:sz w:val="22"/>
                <w:szCs w:val="2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56"/>
        </w:trPr>
        <w:tc>
          <w:tcPr>
            <w:tcW w:w="52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Kevin McAdams </w:t>
            </w:r>
            <w:r>
              <w:rPr>
                <w:rFonts w:ascii="Times New Roman" w:cs="Times New Roman" w:eastAsia="Times New Roman" w:hAnsi="Times New Roman"/>
                <w:sz w:val="29"/>
                <w:szCs w:val="29"/>
                <w:color w:val="auto"/>
                <w:vertAlign w:val="superscript"/>
              </w:rPr>
              <w:t>(9)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101,451</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43,479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57,972</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57"/>
        </w:trPr>
        <w:tc>
          <w:tcPr>
            <w:tcW w:w="52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Ethos Management, LLC </w:t>
            </w:r>
            <w:r>
              <w:rPr>
                <w:rFonts w:ascii="Times New Roman" w:cs="Times New Roman" w:eastAsia="Times New Roman" w:hAnsi="Times New Roman"/>
                <w:sz w:val="29"/>
                <w:szCs w:val="29"/>
                <w:color w:val="auto"/>
                <w:vertAlign w:val="superscript"/>
              </w:rPr>
              <w:t>(10)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101,451</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43,479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57,972</w:t>
            </w:r>
          </w:p>
        </w:tc>
        <w:tc>
          <w:tcPr>
            <w:tcW w:w="160" w:type="dxa"/>
            <w:vAlign w:val="bottom"/>
          </w:tcPr>
          <w:p>
            <w:pPr>
              <w:spacing w:after="0"/>
              <w:rPr>
                <w:sz w:val="22"/>
                <w:szCs w:val="2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57"/>
        </w:trPr>
        <w:tc>
          <w:tcPr>
            <w:tcW w:w="52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(11)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128,949</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59,247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69,702</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52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(11)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6,785</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3,117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3,668</w:t>
            </w:r>
          </w:p>
        </w:tc>
        <w:tc>
          <w:tcPr>
            <w:tcW w:w="160" w:type="dxa"/>
            <w:vAlign w:val="bottom"/>
          </w:tcPr>
          <w:p>
            <w:pPr>
              <w:spacing w:after="0"/>
              <w:rPr>
                <w:sz w:val="22"/>
                <w:szCs w:val="2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Noam Rubinstein</w:t>
            </w:r>
            <w:r>
              <w:rPr>
                <w:rFonts w:ascii="Times New Roman" w:cs="Times New Roman" w:eastAsia="Times New Roman" w:hAnsi="Times New Roman"/>
                <w:sz w:val="29"/>
                <w:szCs w:val="29"/>
                <w:color w:val="auto"/>
                <w:vertAlign w:val="superscript"/>
              </w:rPr>
              <w:t>(11)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63,344</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29,104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34,240</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(11)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2,011</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1,087</w:t>
            </w:r>
          </w:p>
        </w:tc>
        <w:tc>
          <w:tcPr>
            <w:tcW w:w="16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127,392 Common Warrant Shares. 3i Management LLC is the general partner of 3i, LP, and Maier Joshua Tarlow is the manager of 3i Management LLC. As such, Mr. Tarlow exercises sole voting and investment discretion over securities beneficially owned directly or indirectly by 3i, LP and 3i Management LLC. Mr. Tarlow disclaims beneficial ownership of the securities beneficially owned directly by 3i, LP and indirectly by 3i Management LLC. The business address of each of the aforementioned parties is 2 Wooster Street, 2nd Floor, New York, NY 10013. We have been advised that none of Mr. Tarlow, 3i Management LLC, or 3i, LP is a member of the Financial Industry Regulatory Authority, or FINRA, or an independent broker-dealer, or an affiliate or associated person of a FINRA member or independent broker-dealer.</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6" w:name="page27"/>
    <w:bookmarkEnd w:id="26"/>
    <w:p>
      <w:pPr>
        <w:jc w:val="both"/>
        <w:ind w:left="340" w:hanging="332"/>
        <w:spacing w:after="0" w:line="253"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108,696 Common Warrant Shares.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Mr. Waqas Khatri, in his capacity as Managing Member of Ayrton Capital LLC, may also be deemed to have investment discretion and voting power over the shares held by Alto Opportunity Master Fund, SPC - Segregated Master Portfolio B. Ayrton Capital LLC and Mr. Khatri each disclaim any beneficial ownership of these shares. The business address of Alto Opportunity Master Fund, SPC - Segregated Master Portfolio B is 55 Post Rd West, 2nd floor, Westport, CT 06880.</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108,696 Common Warrant Shares. Heights Capital Management, Inc., the authorized agent of CVI Investments, Inc. (“CVI”), has discretionary authority to vote and dispose of the shares held by CVI and may be deemed to be the beneficial owner of these shares. Mr. Martin Kobinger, in his capacity as President of Heights Capital Management, Inc., may also be deemed to have investment discretion and voting power over the shares held by CVI. Mr. Kobinger disclaims any such beneficial ownership of the shares. CVI is affiliated with one or more FINRA member, none of them are currently expected to participate in the sale pursuant to this prospectus. The business address of CVI I is c/o Heights Capital Management, Inc., 101 California Street, Suite 3250, San Francisco, CA 94111.</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108,696 Common Warrant Shares, and (ii) 1,307 warrants previously owned by Intracoastal Capital LLC.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of the securities reported herein that are held by Intracoastal. The business address of Intracoastal is 245 Palm Trail, Delray Beach, FL 33483.</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202,087 shares of common stock and (ii) 130,436 Common Warrant Shares. The business address of Kevin Patrick Murphy is 18303 Windspring Falls Ln. Cypress, TX, 77433.</w:t>
      </w:r>
    </w:p>
    <w:p>
      <w:pPr>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155,723 shares of common stock and (ii) 108,696 Common Warrant Shares. The business address of John Edwards is 1953 North 1640 West, Provo, UT 84604.</w:t>
      </w:r>
    </w:p>
    <w:p>
      <w:pPr>
        <w:jc w:val="both"/>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370,384 shares of common stock, (ii) 129,170 pre-funded warrants previously owned, (iii) 507,254 shares of common stock underlying previously owned warrants and (iii) 760,881 Common Warrant Shares. The Common Warrants, pre-funded warrants, and other warrants beneficially owned by MedTech Ceramics, LP, are subject to 9.99% Beneficial Ownership Limitation. Mr. Karl Kipke is the general partner of MedTech Ceramics, LP. The business address of MedTech Ceramics, LP is 925 S. Capital of Texas Hwy, #B-200, Austin, TX 78746.</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79,928 shares of common stock and (ii) 108,696 Common Warrant Shares. Mr. Paul Walker and Mrs. Jennifer Walker are the Trustees of The Paul and Jennifer Walker Revocable Management Trust. The business address of The Paul and Jennifer Walker Revocable Management Trust is 13004 Lone Rider Trail, Austin, TX 78738.</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57,972 shares of common stock and (ii) 43,479 Common Warrant Shares. The business address of Mr. Kevin McAdams is 201 Creekvista Drive, Holly Springs, NC 27540.</w:t>
      </w:r>
    </w:p>
    <w:p>
      <w:pPr>
        <w:ind w:left="340" w:right="2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57,972 shares of common stock and (ii) 43,479 Common Warrant Shares. Mr. Buff Williams is the manager of Ethos Management, LLC. The business address of Ethos Management, LLC is 1808 South Rockcress Circle</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 George, Utah 84790.</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affiliated with H.C. Wainwright &amp; Co., LLC, a registered broker dealer with a registered address of H.C. Wainwright &amp; Co.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our private placement. The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 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Dorsey &amp; Whitney LLP, Salt Lake City, Utah, will pass upon the validity of the securities offered by this prospectus and any supplement thereto.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SINTX Technologies, Inc. appearing in SINTX Technologies, Inc.’s Annual Report on Form 10-K for the fiscal year ended December 31, 2024 have been audited by TANNER LLC, independent registered public accounting firm, as set forth in their report thereon included therein, and incorporated herein by reference. Such financial statements are incorporated herein by reference in reliance upon the report of TANNER LLC pertaining to such financial statements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In addition, we maintain a website that contains information about us at www.sintx.com. Information contained on or accessible through our website is not a part of this prospectus and is not incorporated by reference herein, and the inclusion of our website address in this prospectus is an inactive textual reference only.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183"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19,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Reports on Form 10-Q for the period ended </w:t>
      </w:r>
      <w:hyperlink r:id="rId50">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1">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auto"/>
          </w:rPr>
          <w:t xml:space="preserve">The Company’s Current Reports on Form 8-K filed with the SEC on </w:t>
        </w:r>
        <w:r>
          <w:rPr>
            <w:rFonts w:ascii="Times New Roman" w:cs="Times New Roman" w:eastAsia="Times New Roman" w:hAnsi="Times New Roman"/>
            <w:sz w:val="18"/>
            <w:szCs w:val="18"/>
            <w:u w:val="single" w:color="auto"/>
            <w:color w:val="0000EE"/>
          </w:rPr>
          <w:t>February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7,</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June 27, 2025</w:t>
        </w:r>
      </w:hyperlink>
      <w:hyperlink r:id="rId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September 5, 2025</w:t>
        </w:r>
      </w:hyperlink>
      <w:hyperlink r:id="rId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September 9, 2025</w:t>
        </w:r>
      </w:hyperlink>
      <w:hyperlink r:id="rId52">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October 3, 2025</w:t>
        </w:r>
      </w:hyperlink>
      <w:hyperlink r:id="rId52">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auto"/>
          </w:rPr>
          <w:t xml:space="preserve">The description of the Company’s common stock, which is contained in the Registration Statement on Form 8-A, as filed with the SEC on </w:t>
        </w:r>
        <w:r>
          <w:rPr>
            <w:rFonts w:ascii="Times New Roman" w:cs="Times New Roman" w:eastAsia="Times New Roman" w:hAnsi="Times New Roman"/>
            <w:sz w:val="18"/>
            <w:szCs w:val="18"/>
            <w:u w:val="single" w:color="auto"/>
            <w:color w:val="0000EE"/>
          </w:rPr>
          <w:t>February 7,</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2014</w:t>
        </w:r>
        <w:r>
          <w:rPr>
            <w:rFonts w:ascii="Times New Roman" w:cs="Times New Roman" w:eastAsia="Times New Roman" w:hAnsi="Times New Roman"/>
            <w:sz w:val="18"/>
            <w:szCs w:val="18"/>
            <w:color w:val="000000"/>
          </w:rPr>
          <w:t>, as updated by the description of our common stock contained in</w:t>
        </w:r>
        <w:r>
          <w:rPr>
            <w:rFonts w:ascii="Times New Roman" w:cs="Times New Roman" w:eastAsia="Times New Roman" w:hAnsi="Times New Roman"/>
            <w:sz w:val="18"/>
            <w:szCs w:val="18"/>
            <w:color w:val="0000EE"/>
          </w:rPr>
          <w:t xml:space="preserve"> </w:t>
        </w:r>
      </w:hyperlink>
      <w:hyperlink r:id="rId58">
        <w:r>
          <w:rPr>
            <w:rFonts w:ascii="Times New Roman" w:cs="Times New Roman" w:eastAsia="Times New Roman" w:hAnsi="Times New Roman"/>
            <w:sz w:val="18"/>
            <w:szCs w:val="18"/>
            <w:u w:val="single" w:color="auto"/>
            <w:color w:val="0000EE"/>
          </w:rPr>
          <w:t xml:space="preserve">Exhibit 4.18 </w:t>
        </w:r>
      </w:hyperlink>
      <w:hyperlink r:id="rId57">
        <w:r>
          <w:rPr>
            <w:rFonts w:ascii="Times New Roman" w:cs="Times New Roman" w:eastAsia="Times New Roman" w:hAnsi="Times New Roman"/>
            <w:sz w:val="18"/>
            <w:szCs w:val="18"/>
            <w:color w:val="000000"/>
          </w:rPr>
          <w:t>to our Annual Report on Form 10-K for the year ended December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31, 2022, including any amendment or report filed for the purpose of updating such description.</w:t>
      </w:r>
    </w:p>
    <w:p>
      <w:pPr>
        <w:spacing w:after="0" w:line="176" w:lineRule="exact"/>
        <w:rPr>
          <w:rFonts w:ascii="Times New Roman" w:cs="Times New Roman" w:eastAsia="Times New Roman" w:hAnsi="Times New Roman"/>
          <w:sz w:val="18"/>
          <w:szCs w:val="18"/>
          <w:color w:val="0000EE"/>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62" w:lineRule="exact"/>
        <w:rPr>
          <w:rFonts w:ascii="Times New Roman" w:cs="Times New Roman" w:eastAsia="Times New Roman" w:hAnsi="Times New Roman"/>
          <w:sz w:val="18"/>
          <w:szCs w:val="18"/>
          <w:color w:val="0000EE"/>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Items 2.02 or 7.01 of Form 8-K and exhibits filed on such form that are related to such items unless such Form 8-K expressly provides to the contrary) made with the SEC pursuant to Sections 13(a), 13(c), 14 or 15(d) of the Exchange Act (i) after the date of the initial filing of the registration statement of which this prospectus is a part and prior to effectiveness of the registration statement, and (ii) after the effectiveness of the registration statement but prior to the termination of the offering of the securities covered by this prospectus, excluding, in each case, information deemed furnished and not filed.</w:t>
      </w:r>
    </w:p>
    <w:p>
      <w:pPr>
        <w:spacing w:after="0" w:line="183"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76" w:lineRule="exact"/>
        <w:rPr>
          <w:rFonts w:ascii="Times New Roman" w:cs="Times New Roman" w:eastAsia="Times New Roman" w:hAnsi="Times New Roman"/>
          <w:sz w:val="18"/>
          <w:szCs w:val="18"/>
          <w:color w:val="0000EE"/>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Sintx Technologies, Inc., Attn: Investor Relations, 1885 West 2100 South, Salt Lake City, Utah 84119 and our telephone number is (801) 839-3500. You may also access the documents incorporated by reference in this prospectus through our website at www.sintx.com. Except for the specific incorporated documents listed above, no information available on or through our website shall be deemed to be incorporated in this prospectus or the registration statement of which it forms a part.</w:t>
      </w:r>
    </w:p>
    <w:p>
      <w:pPr>
        <w:spacing w:after="0" w:line="18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t>Sintx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161290</wp:posOffset>
            </wp:positionV>
            <wp:extent cx="1714500" cy="728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71450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1,741,539 Shares of Common Stock 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1"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costs and expenses payable by us in connection with the offering of the securities being registered. All the amounts shown are estimates, except for the SEC registration fee.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7,500.00</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23"/>
        </w:trPr>
        <w:tc>
          <w:tcPr>
            <w:tcW w:w="9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43,647.00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and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permitted by the Delaware General Corporation Law, as the same exists or may hereafter be amended (but, in the case of any such amendment, only to the extent that such amendment permits us to provide broader indemnification rights than such law permitted us to provide prior to such amendment) against all expense, liability and loss (including attorneys’ fees, judgments, fines, Employee Retirement Income Security Act excise taxes or penalties and amounts paid in settlement) reasonably incurred or suffered by such indemnitee in connection therewith;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subject to other articles of our Amended and Restated Certificate of Incorporation, we cannot be required to indemnify or advance expenses to any such indemnitee in connection with a proceeding (or part thereof) initiated by such indemnitee unless such proceeding (or part thereof) was authorized by the Board of Directors. These provisions limit the liability of our directors and officers to the fullest extent permitted under Delaware law. A director will not receive indemnification if he or she is found not to have acted in good faith.</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102(b)(7) of the Delaware General Corporation Law, Article Eighth of our Amended and Restated Certificate of Incorporation eliminates the liability of a director to us or our stockholders for monetary damages for such a breach of fiduciary duty as a director, except for liabilities arising:</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carry insurance policies insuring our directors and officers against certain liabilities that they may incur in their capacity as directors and officers. We have entered into indemnification agreements with certain of our executive officers and directors. These agreements, among other things, indemnify and advance expenses to our directors and officers for certain expenses, including attorney’s fees, judgments, fines and settlement amounts incurred by any such person in any action or proceeding, including any action by us arising out of such person’s services as our director or officer, or any other company or enterprise to which the person provides services at our request. We believe that these provisions and agreements are necessary to attract and retain qualified persons as directors and officers. We have entered into agreements to indemnify all of our directors and officers.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59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Item 16. Exhibits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0"/>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Incorporated by</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Filed with</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herein from</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w:t>
            </w:r>
          </w:p>
        </w:tc>
      </w:tr>
      <w:tr>
        <w:trPr>
          <w:trHeight w:val="216"/>
        </w:trPr>
        <w:tc>
          <w:tcPr>
            <w:tcW w:w="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Form or</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File/Reg.</w:t>
            </w:r>
          </w:p>
        </w:tc>
      </w:tr>
      <w:tr>
        <w:trPr>
          <w:trHeight w:val="238"/>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14"/>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38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48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Asset Purchase Agreement by and among Amedica Corporation,</w:t>
              </w:r>
            </w:hyperlink>
          </w:p>
        </w:tc>
        <w:tc>
          <w:tcPr>
            <w:tcW w:w="18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10/5/18</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CTL Corporation and US Spine Inc. dated as of September 5, 2018</w:t>
              </w:r>
            </w:hyperlink>
          </w:p>
        </w:tc>
        <w:tc>
          <w:tcPr>
            <w:tcW w:w="2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(Exhibit 2.1)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4"/>
                <w:szCs w:val="24"/>
                <w:color w:val="auto"/>
              </w:rPr>
            </w:pPr>
          </w:p>
        </w:tc>
        <w:tc>
          <w:tcPr>
            <w:tcW w:w="48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Asset Purchase Agreement by and among SINTX Technologies,</w:t>
              </w:r>
            </w:hyperlink>
          </w:p>
        </w:tc>
        <w:tc>
          <w:tcPr>
            <w:tcW w:w="2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7/26/21</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60" w:type="dxa"/>
            <w:vAlign w:val="bottom"/>
            <w:gridSpan w:val="17"/>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Inc. and B4C, LLC, dated July 20, 2021.</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(Exhibit 2.1)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4"/>
                <w:szCs w:val="24"/>
                <w:color w:val="auto"/>
              </w:rPr>
            </w:pPr>
          </w:p>
        </w:tc>
        <w:tc>
          <w:tcPr>
            <w:tcW w:w="292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Stock Purchase Agreement</w:t>
              </w:r>
            </w:hyperlink>
          </w:p>
        </w:tc>
        <w:tc>
          <w:tcPr>
            <w:tcW w:w="214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7/6/22</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2.1)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common stock Certificate of the Registrant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Amendment No. 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1/29/14</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333-192232</w:t>
            </w:r>
          </w:p>
        </w:tc>
      </w:tr>
      <w:tr>
        <w:trPr>
          <w:trHeight w:val="218"/>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to Form S-1</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4.1)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Indenture</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Form S-3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3/25/19</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333-230492</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4.2)</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4"/>
                <w:szCs w:val="24"/>
                <w:color w:val="auto"/>
              </w:rPr>
            </w:pPr>
          </w:p>
        </w:tc>
        <w:tc>
          <w:tcPr>
            <w:tcW w:w="4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Dealer  Manager  Warrants  issued  to  Maxim  Group  LLC  on</w:t>
              </w:r>
            </w:hyperlink>
          </w:p>
        </w:tc>
        <w:tc>
          <w:tcPr>
            <w:tcW w:w="24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10/17/22</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60" w:type="dxa"/>
            <w:vAlign w:val="bottom"/>
            <w:gridSpan w:val="17"/>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October 17, 2022</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(Exhibit 4.1)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4"/>
                <w:szCs w:val="24"/>
                <w:color w:val="auto"/>
              </w:rPr>
            </w:pPr>
          </w:p>
        </w:tc>
        <w:tc>
          <w:tcPr>
            <w:tcW w:w="4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Dealer Manager Warrants issued to Ascendiant Capital Markets,</w:t>
              </w:r>
            </w:hyperlink>
          </w:p>
        </w:tc>
        <w:tc>
          <w:tcPr>
            <w:tcW w:w="24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10/17/22</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LLC on October 17, 2022</w:t>
              </w:r>
            </w:hyperlink>
          </w:p>
        </w:tc>
        <w:tc>
          <w:tcPr>
            <w:tcW w:w="320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(Exhibit 4.2)</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Class C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Form 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2/7/23</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333-269475</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(Exhibit 4.13)</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Pre-Funded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Form 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2/6/23</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333-269475</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(Exhibit 4.14)</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Class D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Form 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2/7/23</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333-269475</w:t>
            </w:r>
          </w:p>
        </w:tc>
      </w:tr>
      <w:tr>
        <w:trPr>
          <w:trHeight w:val="236"/>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(Exhibit 4.15)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Placement Agent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Form 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2/6/23</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333-269475</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(Exhibit 4.16)</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Warrant Agency Agreement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2/9/23</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4.5)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Pre-Funded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4.1)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Class E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4.2)</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7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80">
              <w:r>
                <w:rPr>
                  <w:rFonts w:ascii="Times New Roman" w:cs="Times New Roman" w:eastAsia="Times New Roman" w:hAnsi="Times New Roman"/>
                  <w:sz w:val="18"/>
                  <w:szCs w:val="18"/>
                  <w:color w:val="0000EE"/>
                  <w:w w:val="97"/>
                </w:rPr>
                <w:t>Form of Class F Warrant</w:t>
              </w:r>
            </w:hyperlink>
          </w:p>
        </w:tc>
        <w:tc>
          <w:tcPr>
            <w:tcW w:w="3040" w:type="dxa"/>
            <w:vAlign w:val="bottom"/>
            <w:gridSpan w:val="10"/>
          </w:tcPr>
          <w:p>
            <w:pPr>
              <w:spacing w:after="0"/>
              <w:rPr>
                <w:sz w:val="17"/>
                <w:szCs w:val="17"/>
                <w:color w:val="auto"/>
              </w:rPr>
            </w:pPr>
          </w:p>
        </w:tc>
      </w:tr>
      <w:tr>
        <w:trPr>
          <w:trHeight w:val="6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25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Form of Placement Agent Warrant</w:t>
              </w:r>
            </w:hyperlink>
          </w:p>
        </w:tc>
        <w:tc>
          <w:tcPr>
            <w:tcW w:w="2320" w:type="dxa"/>
            <w:vAlign w:val="bottom"/>
            <w:gridSpan w:val="6"/>
          </w:tcPr>
          <w:p>
            <w:pPr>
              <w:spacing w:after="0"/>
              <w:rPr>
                <w:sz w:val="24"/>
                <w:szCs w:val="24"/>
                <w:color w:val="auto"/>
              </w:rPr>
            </w:pPr>
          </w:p>
        </w:tc>
      </w:tr>
      <w:tr>
        <w:trPr>
          <w:trHeight w:val="6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4820" w:type="dxa"/>
            <w:vAlign w:val="bottom"/>
            <w:gridSpan w:val="12"/>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Warrant Agency Agreement</w:t>
              </w:r>
            </w:hyperlink>
          </w:p>
        </w:tc>
      </w:tr>
      <w:tr>
        <w:trPr>
          <w:trHeight w:val="20"/>
        </w:trPr>
        <w:tc>
          <w:tcPr>
            <w:tcW w:w="9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6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4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Senior  Indenture,  to  be  entered  into  between  the</w:t>
              </w:r>
            </w:hyperlink>
          </w:p>
        </w:tc>
      </w:tr>
      <w:tr>
        <w:trPr>
          <w:trHeight w:val="196"/>
        </w:trPr>
        <w:tc>
          <w:tcPr>
            <w:tcW w:w="920" w:type="dxa"/>
            <w:vAlign w:val="bottom"/>
          </w:tcPr>
          <w:p>
            <w:pPr>
              <w:spacing w:after="0"/>
              <w:rPr>
                <w:sz w:val="17"/>
                <w:szCs w:val="17"/>
                <w:color w:val="auto"/>
              </w:rPr>
            </w:pPr>
          </w:p>
        </w:tc>
        <w:tc>
          <w:tcPr>
            <w:tcW w:w="32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Registrant and the trustee designated therein</w:t>
              </w:r>
            </w:hyperlink>
          </w:p>
        </w:tc>
        <w:tc>
          <w:tcPr>
            <w:tcW w:w="1620" w:type="dxa"/>
            <w:vAlign w:val="bottom"/>
            <w:gridSpan w:val="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4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Subordinated Indenture, to be entered into between the</w:t>
              </w:r>
            </w:hyperlink>
          </w:p>
        </w:tc>
      </w:tr>
      <w:tr>
        <w:trPr>
          <w:trHeight w:val="196"/>
        </w:trPr>
        <w:tc>
          <w:tcPr>
            <w:tcW w:w="920" w:type="dxa"/>
            <w:vAlign w:val="bottom"/>
          </w:tcPr>
          <w:p>
            <w:pPr>
              <w:spacing w:after="0"/>
              <w:rPr>
                <w:sz w:val="17"/>
                <w:szCs w:val="17"/>
                <w:color w:val="auto"/>
              </w:rPr>
            </w:pPr>
          </w:p>
        </w:tc>
        <w:tc>
          <w:tcPr>
            <w:tcW w:w="4820" w:type="dxa"/>
            <w:vAlign w:val="bottom"/>
            <w:gridSpan w:val="12"/>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Registrant and the trustee designated therein</w:t>
              </w:r>
            </w:hyperlink>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318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Pre-Funded Warrant</w:t>
              </w:r>
            </w:hyperlink>
          </w:p>
        </w:tc>
        <w:tc>
          <w:tcPr>
            <w:tcW w:w="1640" w:type="dxa"/>
            <w:vAlign w:val="bottom"/>
            <w:gridSpan w:val="3"/>
          </w:tcPr>
          <w:p>
            <w:pPr>
              <w:spacing w:after="0"/>
              <w:rPr>
                <w:sz w:val="24"/>
                <w:szCs w:val="24"/>
                <w:color w:val="auto"/>
              </w:rPr>
            </w:pPr>
          </w:p>
        </w:tc>
      </w:tr>
      <w:tr>
        <w:trPr>
          <w:trHeight w:val="6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19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Form of Common Warrant</w:t>
              </w:r>
            </w:hyperlink>
          </w:p>
        </w:tc>
        <w:tc>
          <w:tcPr>
            <w:tcW w:w="140" w:type="dxa"/>
            <w:vAlign w:val="bottom"/>
            <w:tcBorders>
              <w:top w:val="single" w:sz="8" w:color="0000EE"/>
            </w:tcBorders>
          </w:tcPr>
          <w:p>
            <w:pPr>
              <w:spacing w:after="0"/>
              <w:rPr>
                <w:sz w:val="24"/>
                <w:szCs w:val="24"/>
                <w:color w:val="auto"/>
              </w:rPr>
            </w:pPr>
          </w:p>
        </w:tc>
        <w:tc>
          <w:tcPr>
            <w:tcW w:w="2740" w:type="dxa"/>
            <w:vAlign w:val="bottom"/>
            <w:gridSpan w:val="8"/>
          </w:tcPr>
          <w:p>
            <w:pPr>
              <w:spacing w:after="0"/>
              <w:rPr>
                <w:sz w:val="24"/>
                <w:szCs w:val="24"/>
                <w:color w:val="auto"/>
              </w:rPr>
            </w:pPr>
          </w:p>
        </w:tc>
      </w:tr>
      <w:tr>
        <w:trPr>
          <w:trHeight w:val="6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24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87">
              <w:r>
                <w:rPr>
                  <w:rFonts w:ascii="Times New Roman" w:cs="Times New Roman" w:eastAsia="Times New Roman" w:hAnsi="Times New Roman"/>
                  <w:sz w:val="18"/>
                  <w:szCs w:val="18"/>
                  <w:color w:val="0000EE"/>
                  <w:w w:val="98"/>
                </w:rPr>
                <w:t>Form of Placement Agent Warrant</w:t>
              </w:r>
            </w:hyperlink>
          </w:p>
        </w:tc>
        <w:tc>
          <w:tcPr>
            <w:tcW w:w="2340" w:type="dxa"/>
            <w:vAlign w:val="bottom"/>
            <w:gridSpan w:val="7"/>
          </w:tcPr>
          <w:p>
            <w:pPr>
              <w:spacing w:after="0"/>
              <w:rPr>
                <w:sz w:val="24"/>
                <w:szCs w:val="24"/>
                <w:color w:val="auto"/>
              </w:rPr>
            </w:pPr>
          </w:p>
        </w:tc>
      </w:tr>
      <w:tr>
        <w:trPr>
          <w:trHeight w:val="6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4820" w:type="dxa"/>
            <w:vAlign w:val="bottom"/>
            <w:gridSpan w:val="12"/>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New Warrant</w:t>
              </w:r>
            </w:hyperlink>
          </w:p>
        </w:tc>
      </w:tr>
      <w:tr>
        <w:trPr>
          <w:trHeight w:val="20"/>
        </w:trPr>
        <w:tc>
          <w:tcPr>
            <w:tcW w:w="9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6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25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Form of Placement Agent Warrant</w:t>
              </w:r>
            </w:hyperlink>
          </w:p>
        </w:tc>
        <w:tc>
          <w:tcPr>
            <w:tcW w:w="2320" w:type="dxa"/>
            <w:vAlign w:val="bottom"/>
            <w:gridSpan w:val="6"/>
          </w:tcPr>
          <w:p>
            <w:pPr>
              <w:spacing w:after="0"/>
              <w:rPr>
                <w:sz w:val="24"/>
                <w:szCs w:val="24"/>
                <w:color w:val="auto"/>
              </w:rPr>
            </w:pPr>
          </w:p>
        </w:tc>
      </w:tr>
      <w:tr>
        <w:trPr>
          <w:trHeight w:val="6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33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90">
              <w:r>
                <w:rPr>
                  <w:rFonts w:ascii="Times New Roman" w:cs="Times New Roman" w:eastAsia="Times New Roman" w:hAnsi="Times New Roman"/>
                  <w:sz w:val="18"/>
                  <w:szCs w:val="18"/>
                  <w:color w:val="0000EE"/>
                  <w:w w:val="98"/>
                </w:rPr>
                <w:t>Form of Additional Placement Agent Warrant</w:t>
              </w:r>
            </w:hyperlink>
          </w:p>
        </w:tc>
        <w:tc>
          <w:tcPr>
            <w:tcW w:w="1520" w:type="dxa"/>
            <w:vAlign w:val="bottom"/>
          </w:tcPr>
          <w:p>
            <w:pPr>
              <w:spacing w:after="0"/>
              <w:rPr>
                <w:sz w:val="24"/>
                <w:szCs w:val="24"/>
                <w:color w:val="auto"/>
              </w:rPr>
            </w:pPr>
          </w:p>
        </w:tc>
      </w:tr>
      <w:tr>
        <w:trPr>
          <w:trHeight w:val="6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Opinion of Dorsey &amp; Whitney LLP</w:t>
            </w:r>
          </w:p>
        </w:tc>
        <w:tc>
          <w:tcPr>
            <w:tcW w:w="2260" w:type="dxa"/>
            <w:vAlign w:val="bottom"/>
            <w:gridSpan w:val="5"/>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820" w:type="dxa"/>
            <w:vAlign w:val="bottom"/>
            <w:gridSpan w:val="12"/>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Inducement Letter</w:t>
              </w:r>
            </w:hyperlink>
          </w:p>
        </w:tc>
      </w:tr>
      <w:tr>
        <w:trPr>
          <w:trHeight w:val="20"/>
        </w:trPr>
        <w:tc>
          <w:tcPr>
            <w:tcW w:w="9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Dorsey &amp; Whitney LLP (included in Exhibit 5.1)</w:t>
      </w:r>
    </w:p>
    <w:p>
      <w:pPr>
        <w:spacing w:after="0" w:line="225" w:lineRule="exact"/>
        <w:rPr>
          <w:sz w:val="20"/>
          <w:szCs w:val="20"/>
          <w:color w:val="auto"/>
        </w:rPr>
      </w:pPr>
    </w:p>
    <w:p>
      <w:pPr>
        <w:jc w:val="both"/>
        <w:ind w:left="920" w:right="20" w:hanging="903"/>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the signature page to this registration statement)</w:t>
      </w:r>
    </w:p>
    <w:p>
      <w:pPr>
        <w:spacing w:after="0" w:line="162"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(Exhibit 4.3)</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(Exhibit 4.4)</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(Exhibit 4.5)</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Form S-3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10/12/23</w:t>
            </w: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333-274951</w:t>
            </w:r>
          </w:p>
        </w:tc>
      </w:tr>
      <w:tr>
        <w:trPr>
          <w:trHeight w:val="23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(Exhibit 4.14)</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Form S-3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10/12/23</w:t>
            </w: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333-274951</w:t>
            </w:r>
          </w:p>
        </w:tc>
      </w:tr>
      <w:tr>
        <w:trPr>
          <w:trHeight w:val="23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(Exhibit 4.16)</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02/26/25</w:t>
            </w: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(Exhibit 4.1)</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02/26/25</w:t>
            </w: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(Exhibit 4.2)</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02/26/25</w:t>
            </w: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(Exhibit 4.3)</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Form 8-K (Exhibit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9/9/25</w:t>
            </w: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5"/>
              </w:rPr>
              <w:t>10.2)</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Form 8-K (Exhibit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9/9/25</w:t>
            </w: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5"/>
              </w:rPr>
              <w:t>10.3)</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Form 8-K (Exhibit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9/9/25</w:t>
            </w: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4"/>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5"/>
              </w:rPr>
              <w:t>10.4)</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2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9/9/25</w:t>
            </w: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001-33624</w:t>
            </w:r>
          </w:p>
        </w:tc>
      </w:tr>
    </w:tbl>
    <w:p>
      <w:pPr>
        <w:ind w:left="980"/>
        <w:spacing w:after="0"/>
        <w:rPr>
          <w:sz w:val="20"/>
          <w:szCs w:val="20"/>
          <w:color w:val="auto"/>
        </w:rPr>
      </w:pPr>
      <w:r>
        <w:rPr>
          <w:rFonts w:ascii="Times New Roman" w:cs="Times New Roman" w:eastAsia="Times New Roman" w:hAnsi="Times New Roman"/>
          <w:sz w:val="18"/>
          <w:szCs w:val="18"/>
          <w:color w:val="auto"/>
        </w:rPr>
        <w:t>(Exhibit 10.1)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760" w:space="600"/>
            <w:col w:w="4760"/>
          </w:cols>
          <w:pgMar w:left="320" w:top="70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(a)(1)To file, during any period in which offers or sales are being made, a post-effective amendment to this registration statement:</w:t>
      </w:r>
    </w:p>
    <w:p>
      <w:pPr>
        <w:spacing w:after="0" w:line="225" w:lineRule="exact"/>
        <w:rPr>
          <w:sz w:val="20"/>
          <w:szCs w:val="20"/>
          <w:color w:val="auto"/>
        </w:rPr>
      </w:pPr>
    </w:p>
    <w:p>
      <w:pPr>
        <w:ind w:left="880" w:hanging="224"/>
        <w:spacing w:after="0"/>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 exhibit to the effective registration statement;</w:t>
      </w:r>
    </w:p>
    <w:p>
      <w:pPr>
        <w:spacing w:after="0" w:line="188"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100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(a)(1)(i), (a)(1)(ii) and (a)(1)(iii) of this section do not apply if the registration statement is on Form S-3 and the information required to be included in a post-effective amendment by those paragraphs is contained in reports filed with or furnished to the SEC by the registrant pursuant to Section 13 or Section 15(d) of the Securities Exchange Act of 1934 (the “Exchange Act”) that are incorporated by reference in the registration statement, or is contained in a form of prospectus filed pursuant to Rule 424(b) that is part of the registration statement.</w:t>
      </w:r>
    </w:p>
    <w:p>
      <w:pPr>
        <w:spacing w:after="0" w:line="187" w:lineRule="exact"/>
        <w:rPr>
          <w:rFonts w:ascii="Times New Roman" w:cs="Times New Roman" w:eastAsia="Times New Roman" w:hAnsi="Times New Roman"/>
          <w:sz w:val="18"/>
          <w:szCs w:val="18"/>
          <w:color w:val="auto"/>
        </w:rPr>
      </w:pPr>
    </w:p>
    <w:p>
      <w:pPr>
        <w:jc w:val="both"/>
        <w:ind w:right="20" w:firstLine="8"/>
        <w:spacing w:after="0" w:line="312" w:lineRule="auto"/>
        <w:tabs>
          <w:tab w:leader="none" w:pos="25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9" w:lineRule="exact"/>
        <w:rPr>
          <w:rFonts w:ascii="Times New Roman" w:cs="Times New Roman" w:eastAsia="Times New Roman" w:hAnsi="Times New Roman"/>
          <w:sz w:val="17"/>
          <w:szCs w:val="17"/>
          <w:color w:val="auto"/>
        </w:rPr>
      </w:pPr>
    </w:p>
    <w:p>
      <w:pPr>
        <w:ind w:firstLine="8"/>
        <w:spacing w:after="0" w:line="282" w:lineRule="auto"/>
        <w:tabs>
          <w:tab w:leader="none" w:pos="2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87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both"/>
        <w:ind w:left="660" w:hanging="4"/>
        <w:spacing w:after="0" w:line="253" w:lineRule="auto"/>
        <w:tabs>
          <w:tab w:leader="none" w:pos="93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jc w:val="both"/>
        <w:ind w:firstLine="8"/>
        <w:spacing w:after="0" w:line="261" w:lineRule="auto"/>
        <w:tabs>
          <w:tab w:leader="none" w:pos="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of the registrant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Salt Lake City, State of Utah, on this 21st day of October,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808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SINTX Technologies, Inc.</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23, 2025</w:t>
            </w:r>
          </w:p>
        </w:tc>
        <w:tc>
          <w:tcPr>
            <w:tcW w:w="80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Olson</w:t>
            </w:r>
          </w:p>
        </w:tc>
      </w:tr>
      <w:tr>
        <w:trPr>
          <w:trHeight w:val="191"/>
        </w:trPr>
        <w:tc>
          <w:tcPr>
            <w:tcW w:w="31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Olson</w:t>
            </w:r>
          </w:p>
        </w:tc>
      </w:tr>
      <w:tr>
        <w:trPr>
          <w:trHeight w:val="216"/>
        </w:trPr>
        <w:tc>
          <w:tcPr>
            <w:tcW w:w="3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Financial Officer</w:t>
            </w:r>
          </w:p>
        </w:tc>
      </w:tr>
      <w:tr>
        <w:trPr>
          <w:trHeight w:val="234"/>
        </w:trPr>
        <w:tc>
          <w:tcPr>
            <w:tcW w:w="31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r>
      <w:tr>
        <w:trPr>
          <w:trHeight w:val="432"/>
        </w:trPr>
        <w:tc>
          <w:tcPr>
            <w:tcW w:w="3160" w:type="dxa"/>
            <w:vAlign w:val="bottom"/>
          </w:tcPr>
          <w:p>
            <w:pPr>
              <w:spacing w:after="0"/>
              <w:rPr>
                <w:sz w:val="24"/>
                <w:szCs w:val="24"/>
                <w:color w:val="auto"/>
              </w:rPr>
            </w:pPr>
          </w:p>
        </w:tc>
        <w:tc>
          <w:tcPr>
            <w:tcW w:w="80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Eric Olson,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her substitute or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Eric Olson</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23, 2025</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Eric Olson</w:t>
            </w:r>
          </w:p>
        </w:tc>
        <w:tc>
          <w:tcPr>
            <w:tcW w:w="2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Kevin Trask</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23, 2025</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Kevin Trask</w:t>
            </w:r>
          </w:p>
        </w:tc>
        <w:tc>
          <w:tcPr>
            <w:tcW w:w="2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Jay M. Moyes</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23, 2025</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Jay M. Moyes</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D. Mitchell</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23, 2025</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Robert D. Mitchell</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Gregg Honigblum</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23, 2025</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Gregg Honigblum</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Chris Lyons</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23, 2025</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Chris Lyons</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Anderson</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23, 2025</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Mark Anderson</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640"/>
              <w:spacing w:after="0"/>
              <w:rPr>
                <w:sz w:val="20"/>
                <w:szCs w:val="20"/>
                <w:color w:val="auto"/>
              </w:rPr>
            </w:pPr>
            <w:r>
              <w:rPr>
                <w:rFonts w:ascii="Times New Roman" w:cs="Times New Roman" w:eastAsia="Times New Roman" w:hAnsi="Times New Roman"/>
                <w:sz w:val="18"/>
                <w:szCs w:val="18"/>
                <w:color w:val="auto"/>
              </w:rPr>
              <w:t>II-6</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143125" cy="540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5">
                      <a:extLst>
                        <a:ext uri="{28A0092B-C50C-407E-A947-70E740481C1C}"/>
                      </a:extLst>
                    </a:blip>
                    <a:srcRect/>
                    <a:stretch>
                      <a:fillRect/>
                    </a:stretch>
                  </pic:blipFill>
                  <pic:spPr bwMode="auto">
                    <a:xfrm>
                      <a:off x="0" y="0"/>
                      <a:ext cx="214312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SINTX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1885 West 2100 South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 84119</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SINTX Technologies, Inc., a Delaware corporation (the “Company”), in connection with a registration statement on Form S-3 (as amended or supplemented, the “Registration Statement”) filed by the Company with the Securities and Exchange Commission (the “Commission”) under the Securities Act of 1933, as amended (the “Securities Act”). The Registration Statement relates to the offer for resale of an aggregate of 1,741,539 shares of common stock, par value $0.01 per share of the Company(“Common Stock”), consisting of (i) 1,649,147 shares of Common Stock issuable upon the exercise of common warrants (the “Common Warrants,” and the shares of Common Stock underlying the Common Warrants, the “Common Warrant Shares”), with an exercise price of $4.79 per share, and (ii) placement agent warrants to purchase an aggregate of up to (a) 82,457 shares of Common Stock at an exercise price of $4.3844 per share and (b) 9,935 shares of Common Stock at an exercise price of $4.3125 per share (the “Placement Agent Warrants” and the shares of Common Stock underlying the Placement Agent Warrants, the “Placement Agent Warrant Shares”), issued to the placement agent in the Private Placement (as defined below), with an exercise price of $4.3125 per share.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Warrants and Placement Agent Warrants are collectively referred to as the “Warrants,” and the Common Warrant Shares and Placement Agent Warrant Shares are collectively referred to as the “Warrant Shares.” The Warrants were issued in a private placement (the “Private Placement”) pursuant to an inducement letter dated September 8,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the Warrant Shares, we express no opinion to the extent that future issuances of securities of the Company,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 of the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we are of the opinion that:</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exercise of the Common Warrants and payment to the Company of the applicable aggregate exercise price in accordance with the terms of the Common Warrants, the Common Warrant Shares issuable upon such exercise will be duly and validly issued, fully paid and non-assessable shares of Common Stock.</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exercise of the Placement Agent Warrants and payment to the Company of the applicable aggregate exercise price in accordance with the terms of the Placement Agent Warrants, the Placement Agent Warrant Shares issuable upon such exercise will be duly and validly issued, fully paid and non-assessable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opinions expressed above are limited to the Delaware General Corporation Law.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Dorsey &amp; Whitney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DPL/DFM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SINTX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part of this Registration Statement of our report dated March 18, 2025, relating to the consolidated financial statements of SINTX Technologies, Inc., and subsidiaries (collectively, the Company), as of December 31, 2024 and 2023 and for each of the years then ended, incorporated by reference in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Tanner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Lehi,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w w:val="98"/>
              </w:rPr>
              <w:t>Table 1: Newly Registered Securities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Fee</w:t>
            </w:r>
          </w:p>
        </w:tc>
        <w:tc>
          <w:tcPr>
            <w:tcW w:w="13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8"/>
                <w:szCs w:val="18"/>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Security</w:t>
            </w:r>
          </w:p>
        </w:tc>
        <w:tc>
          <w:tcPr>
            <w:tcW w:w="200" w:type="dxa"/>
            <w:vAlign w:val="bottom"/>
          </w:tcPr>
          <w:p>
            <w:pPr>
              <w:spacing w:after="0"/>
              <w:rPr>
                <w:sz w:val="16"/>
                <w:szCs w:val="16"/>
                <w:color w:val="auto"/>
              </w:rPr>
            </w:pPr>
          </w:p>
        </w:tc>
        <w:tc>
          <w:tcPr>
            <w:tcW w:w="130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Security</w:t>
            </w:r>
          </w:p>
        </w:tc>
        <w:tc>
          <w:tcPr>
            <w:tcW w:w="1200" w:type="dxa"/>
            <w:vAlign w:val="bottom"/>
            <w:gridSpan w:val="3"/>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Calculation</w:t>
            </w:r>
          </w:p>
        </w:tc>
        <w:tc>
          <w:tcPr>
            <w:tcW w:w="13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center"/>
              <w:ind w:right="520"/>
              <w:spacing w:after="0" w:line="184" w:lineRule="exact"/>
              <w:rPr>
                <w:sz w:val="20"/>
                <w:szCs w:val="20"/>
                <w:color w:val="auto"/>
              </w:rPr>
            </w:pPr>
            <w:r>
              <w:rPr>
                <w:rFonts w:ascii="Times New Roman" w:cs="Times New Roman" w:eastAsia="Times New Roman" w:hAnsi="Times New Roman"/>
                <w:sz w:val="18"/>
                <w:szCs w:val="18"/>
                <w:b w:val="1"/>
                <w:bCs w:val="1"/>
                <w:color w:val="auto"/>
              </w:rPr>
              <w:t>Price Per</w:t>
            </w:r>
          </w:p>
        </w:tc>
        <w:tc>
          <w:tcPr>
            <w:tcW w:w="100" w:type="dxa"/>
            <w:vAlign w:val="bottom"/>
          </w:tcPr>
          <w:p>
            <w:pPr>
              <w:spacing w:after="0"/>
              <w:rPr>
                <w:sz w:val="16"/>
                <w:szCs w:val="16"/>
                <w:color w:val="auto"/>
              </w:rPr>
            </w:pPr>
          </w:p>
        </w:tc>
        <w:tc>
          <w:tcPr>
            <w:tcW w:w="1260" w:type="dxa"/>
            <w:vAlign w:val="bottom"/>
            <w:gridSpan w:val="2"/>
          </w:tcPr>
          <w:p>
            <w:pPr>
              <w:jc w:val="center"/>
              <w:ind w:right="4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00" w:type="dxa"/>
            <w:vAlign w:val="bottom"/>
          </w:tcPr>
          <w:p>
            <w:pPr>
              <w:spacing w:after="0"/>
              <w:rPr>
                <w:sz w:val="23"/>
                <w:szCs w:val="2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 Title</w:t>
            </w: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300" w:type="dxa"/>
            <w:vAlign w:val="bottom"/>
            <w:gridSpan w:val="2"/>
          </w:tcPr>
          <w:p>
            <w:pPr>
              <w:jc w:val="right"/>
              <w:ind w:right="300"/>
              <w:spacing w:after="0" w:line="270" w:lineRule="exact"/>
              <w:rPr>
                <w:sz w:val="20"/>
                <w:szCs w:val="20"/>
                <w:color w:val="auto"/>
              </w:rPr>
            </w:pPr>
            <w:r>
              <w:rPr>
                <w:rFonts w:ascii="Times New Roman" w:cs="Times New Roman" w:eastAsia="Times New Roman" w:hAnsi="Times New Roman"/>
                <w:sz w:val="18"/>
                <w:szCs w:val="18"/>
                <w:b w:val="1"/>
                <w:bCs w:val="1"/>
                <w:color w:val="auto"/>
                <w:w w:val="93"/>
              </w:rPr>
              <w:t>Registered</w:t>
            </w:r>
            <w:r>
              <w:rPr>
                <w:rFonts w:ascii="Times New Roman" w:cs="Times New Roman" w:eastAsia="Times New Roman" w:hAnsi="Times New Roman"/>
                <w:sz w:val="29"/>
                <w:szCs w:val="29"/>
                <w:b w:val="1"/>
                <w:bCs w:val="1"/>
                <w:color w:val="auto"/>
                <w:w w:val="93"/>
                <w:vertAlign w:val="superscript"/>
              </w:rPr>
              <w:t>(1)</w:t>
            </w:r>
          </w:p>
        </w:tc>
        <w:tc>
          <w:tcPr>
            <w:tcW w:w="80" w:type="dxa"/>
            <w:vAlign w:val="bottom"/>
          </w:tcPr>
          <w:p>
            <w:pPr>
              <w:spacing w:after="0"/>
              <w:rPr>
                <w:sz w:val="23"/>
                <w:szCs w:val="23"/>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00" w:type="dxa"/>
            <w:vAlign w:val="bottom"/>
          </w:tcPr>
          <w:p>
            <w:pPr>
              <w:spacing w:after="0"/>
              <w:rPr>
                <w:sz w:val="23"/>
                <w:szCs w:val="23"/>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20" w:type="dxa"/>
            <w:vAlign w:val="bottom"/>
          </w:tcPr>
          <w:p>
            <w:pPr>
              <w:spacing w:after="0"/>
              <w:rPr>
                <w:sz w:val="23"/>
                <w:szCs w:val="23"/>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Fee</w:t>
            </w:r>
          </w:p>
        </w:tc>
        <w:tc>
          <w:tcPr>
            <w:tcW w:w="0" w:type="dxa"/>
            <w:vAlign w:val="bottom"/>
          </w:tcPr>
          <w:p>
            <w:pPr>
              <w:spacing w:after="0"/>
              <w:rPr>
                <w:sz w:val="1"/>
                <w:szCs w:val="1"/>
                <w:color w:val="auto"/>
              </w:rPr>
            </w:pPr>
          </w:p>
        </w:tc>
      </w:tr>
      <w:tr>
        <w:trPr>
          <w:trHeight w:val="191"/>
        </w:trPr>
        <w:tc>
          <w:tcPr>
            <w:tcW w:w="10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Common</w:t>
            </w: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issuable</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upon exercise</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the</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to Be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4.79 </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w:t>
            </w:r>
          </w:p>
        </w:tc>
        <w:tc>
          <w:tcPr>
            <w:tcW w:w="1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12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Other</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1,649,147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7,899,414.13</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0.0001381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Stock issuable</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upon exercise</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of Placement</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Fees to Be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Agent</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4.3844 </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Paid</w:t>
            </w: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Other</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82,457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361,524.47</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0.0001381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8"/>
        </w:trPr>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issuable</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upon exercise</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Placement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to Be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Agent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4.3125 </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w:t>
            </w:r>
          </w:p>
        </w:tc>
        <w:tc>
          <w:tcPr>
            <w:tcW w:w="1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12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Other</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42,844.69</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0.0001381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80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8,303,783.29</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80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80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(the “Securities Act”), this Registration Statement shall also cover any additional shares of the Registrant’s common stock, par value $0.01 per share (“Common Stock”), in connection with any stock dividend, stock split, recapitalization or other similar transaction effected without receipt of consideration that increases the number of outstanding shares of Common Stock.</w:t>
      </w:r>
    </w:p>
    <w:p>
      <w:pPr>
        <w:spacing w:after="0" w:line="2"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457(g) of the Securities Act. The proposed maximum offering price per share are calculated based on the exercise price of the Common Warrants and Placement Agent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Roman"/>
      <w:start w:val="2"/>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07"/>
    </w:lvl>
  </w:abstractNum>
  <w:abstractNum w:abstractNumId="9">
    <w:nsid w:val="140E0F76"/>
    <w:multiLevelType w:val="hybridMultilevel"/>
    <w:lvl w:ilvl="0">
      <w:lvlJc w:val="left"/>
      <w:lvlText w:val="%1"/>
      <w:numFmt w:val="decimal"/>
      <w:start w:val="1"/>
    </w:lvl>
    <w:lvl w:ilvl="1">
      <w:lvlJc w:val="left"/>
      <w:lvlText w:val="(%2)"/>
      <w:numFmt w:val="lowerRoman"/>
      <w:start w:val="1"/>
    </w:lvl>
  </w:abstractNum>
  <w:abstractNum w:abstractNumId="10">
    <w:nsid w:val="3352255A"/>
    <w:multiLevelType w:val="hybridMultilevel"/>
    <w:lvl w:ilvl="0">
      <w:lvlJc w:val="left"/>
      <w:lvlText w:val="(%1)"/>
      <w:numFmt w:val="decimal"/>
      <w:start w:val="2"/>
    </w:lvl>
    <w:lvl w:ilvl="1">
      <w:lvlJc w:val="left"/>
      <w:lvlText w:val="(%2)"/>
      <w:numFmt w:val="lowerRoman"/>
      <w:start w:val="1"/>
    </w:lvl>
  </w:abstractNum>
  <w:abstractNum w:abstractNumId="11">
    <w:nsid w:val="109CF92E"/>
    <w:multiLevelType w:val="hybridMultilevel"/>
    <w:lvl w:ilvl="0">
      <w:lvlJc w:val="left"/>
      <w:lvlText w:val="%1"/>
      <w:numFmt w:val="lowerLetter"/>
      <w:start w:val="1"/>
    </w:lvl>
    <w:lvl w:ilvl="1">
      <w:lvlJc w:val="left"/>
      <w:lvlText w:val="(%2)"/>
      <w:numFmt w:val="lowerLetter"/>
      <w:start w:val="35"/>
    </w:lvl>
  </w:abstractNum>
  <w:abstractNum w:abstractNumId="12">
    <w:nsid w:val="DED7263"/>
    <w:multiLevelType w:val="hybridMultilevel"/>
    <w:lvl w:ilvl="0">
      <w:lvlJc w:val="left"/>
      <w:lvlText w:val="(%1)"/>
      <w:numFmt w:val="lowerLetter"/>
      <w:start w:val="2"/>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jpe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79" Type="http://schemas.openxmlformats.org/officeDocument/2006/relationships/image" Target="media/image48.png"/><Relationship Id="rId92" Type="http://schemas.openxmlformats.org/officeDocument/2006/relationships/image" Target="media/image49.png"/><Relationship Id="rId93" Type="http://schemas.openxmlformats.org/officeDocument/2006/relationships/image" Target="media/image50.png"/><Relationship Id="rId94" Type="http://schemas.openxmlformats.org/officeDocument/2006/relationships/image" Target="media/image51.png"/><Relationship Id="rId95" Type="http://schemas.openxmlformats.org/officeDocument/2006/relationships/image" Target="media/image52.jpeg"/><Relationship Id="rId96" Type="http://schemas.openxmlformats.org/officeDocument/2006/relationships/image" Target="media/image53.png"/><Relationship Id="rId97" Type="http://schemas.openxmlformats.org/officeDocument/2006/relationships/image" Target="media/image54.png"/><Relationship Id="rId98" Type="http://schemas.openxmlformats.org/officeDocument/2006/relationships/image" Target="media/image55.png"/><Relationship Id="rId99" Type="http://schemas.openxmlformats.org/officeDocument/2006/relationships/image" Target="media/image56.png"/><Relationship Id="rId49" Type="http://schemas.openxmlformats.org/officeDocument/2006/relationships/hyperlink" Target="https://www.sec.gov/Archives/edgar/data/1269026/000149315225010870/form10-k.htm" TargetMode="External"/><Relationship Id="rId50" Type="http://schemas.openxmlformats.org/officeDocument/2006/relationships/hyperlink" Target="https://www.sec.gov/Archives/edgar/data/1269026/000164117225010496/form10-q.htm" TargetMode="External"/><Relationship Id="rId51" Type="http://schemas.openxmlformats.org/officeDocument/2006/relationships/hyperlink" Target="https://www.sec.gov/Archives/edgar/data/1269026/000164117225024040/form10-q.htm" TargetMode="External"/><Relationship Id="rId52" Type="http://schemas.openxmlformats.org/officeDocument/2006/relationships/hyperlink" Target="https://www.sec.gov/Archives/edgar/data/1269026/000164117225009063/form8-k.htm" TargetMode="External"/><Relationship Id="rId53" Type="http://schemas.openxmlformats.org/officeDocument/2006/relationships/hyperlink" Target="https://www.sec.gov/Archives/edgar/data/1269026/000164117225016891/form8-k.htm" TargetMode="External"/><Relationship Id="rId54" Type="http://schemas.openxmlformats.org/officeDocument/2006/relationships/hyperlink" Target="https://www.sec.gov/Archives/edgar/data/1269026/000149315225012731/form8-k.htm" TargetMode="External"/><Relationship Id="rId55" Type="http://schemas.openxmlformats.org/officeDocument/2006/relationships/hyperlink" Target="https://www.sec.gov/Archives/edgar/data/1269026/000149315225012834/form8-k.htm" TargetMode="External"/><Relationship Id="rId56" Type="http://schemas.openxmlformats.org/officeDocument/2006/relationships/hyperlink" Target="https://www.sec.gov/Archives/edgar/data/1269026/000149315225016904/form8-k.htm" TargetMode="External"/><Relationship Id="rId57" Type="http://schemas.openxmlformats.org/officeDocument/2006/relationships/hyperlink" Target="https://www.sec.gov/Archives/edgar/data/1269026/000119312514040613/d672126d8a12b.htm" TargetMode="External"/><Relationship Id="rId58" Type="http://schemas.openxmlformats.org/officeDocument/2006/relationships/hyperlink" Target="https://www.sec.gov/Archives/edgar/data/1269026/000149315223009492/ex4-18.htm" TargetMode="External"/><Relationship Id="rId65" Type="http://schemas.openxmlformats.org/officeDocument/2006/relationships/hyperlink" Target="https://www.sec.gov/Archives/edgar/data/1269026/000149315218014199/ex2-1.htm" TargetMode="External"/><Relationship Id="rId66" Type="http://schemas.openxmlformats.org/officeDocument/2006/relationships/hyperlink" Target="https://www.sec.gov/Archives/edgar/data/1269026/000149315221017764/ex2-1.htm" TargetMode="External"/><Relationship Id="rId67" Type="http://schemas.openxmlformats.org/officeDocument/2006/relationships/hyperlink" Target="https://www.sec.gov/Archives/edgar/data/1269026/000149315222018635/ex2-1.htm" TargetMode="External"/><Relationship Id="rId68" Type="http://schemas.openxmlformats.org/officeDocument/2006/relationships/hyperlink" Target="https://www.sec.gov/Archives/edgar/data/1269026/000119312514025241/d593074dex41.htm" TargetMode="External"/><Relationship Id="rId69" Type="http://schemas.openxmlformats.org/officeDocument/2006/relationships/hyperlink" Target="https://www.sec.gov/Archives/edgar/data/1269026/000149315219003871/ex4-2.htm" TargetMode="External"/><Relationship Id="rId70" Type="http://schemas.openxmlformats.org/officeDocument/2006/relationships/hyperlink" Target="https://www.sec.gov/Archives/edgar/data/1269026/000149315222028681/ex4-1.htm" TargetMode="External"/><Relationship Id="rId71" Type="http://schemas.openxmlformats.org/officeDocument/2006/relationships/hyperlink" Target="https://www.sec.gov/Archives/edgar/data/1269026/000149315222028681/ex4-2.htm" TargetMode="External"/><Relationship Id="rId72" Type="http://schemas.openxmlformats.org/officeDocument/2006/relationships/hyperlink" Target="https://www.sec.gov/Archives/edgar/data/1269026/000149315223003769/ex4-13.htm" TargetMode="External"/><Relationship Id="rId73" Type="http://schemas.openxmlformats.org/officeDocument/2006/relationships/hyperlink" Target="https://www.sec.gov/Archives/edgar/data/1269026/000149315223003647/ex4-14.htm" TargetMode="External"/><Relationship Id="rId74" Type="http://schemas.openxmlformats.org/officeDocument/2006/relationships/hyperlink" Target="https://www.sec.gov/Archives/edgar/data/1269026/000149315223003769/ex4-15.htm" TargetMode="External"/><Relationship Id="rId75" Type="http://schemas.openxmlformats.org/officeDocument/2006/relationships/hyperlink" Target="https://www.sec.gov/Archives/edgar/data/1269026/000149315223003647/ex4-16.htm" TargetMode="External"/><Relationship Id="rId76" Type="http://schemas.openxmlformats.org/officeDocument/2006/relationships/hyperlink" Target="https://www.sec.gov/Archives/edgar/data/1269026/000149315223004104/ex4-5.htm" TargetMode="External"/><Relationship Id="rId77" Type="http://schemas.openxmlformats.org/officeDocument/2006/relationships/hyperlink" Target="https://www.sec.gov/Archives/edgar/data/1269026/000149315224004653/ex4-1.htm" TargetMode="External"/><Relationship Id="rId78" Type="http://schemas.openxmlformats.org/officeDocument/2006/relationships/hyperlink" Target="https://www.sec.gov/Archives/edgar/data/1269026/000149315224004653/ex4-2.htm" TargetMode="External"/><Relationship Id="rId80" Type="http://schemas.openxmlformats.org/officeDocument/2006/relationships/hyperlink" Target="https://www.sec.gov/Archives/edgar/data/1269026/000149315224004653/ex4-3.htm" TargetMode="External"/><Relationship Id="rId81" Type="http://schemas.openxmlformats.org/officeDocument/2006/relationships/hyperlink" Target="https://www.sec.gov/Archives/edgar/data/1269026/000149315224004653/ex4-4.htm" TargetMode="External"/><Relationship Id="rId82" Type="http://schemas.openxmlformats.org/officeDocument/2006/relationships/hyperlink" Target="https://www.sec.gov/Archives/edgar/data/1269026/000149315224004653/ex4-5.htm" TargetMode="External"/><Relationship Id="rId83" Type="http://schemas.openxmlformats.org/officeDocument/2006/relationships/hyperlink" Target="https://www.sec.gov/Archives/edgar/data/1269026/000149315223037042/ex4-14.htm" TargetMode="External"/><Relationship Id="rId84" Type="http://schemas.openxmlformats.org/officeDocument/2006/relationships/hyperlink" Target="https://www.sec.gov/Archives/edgar/data/1269026/000149315223037042/ex4-16.htm" TargetMode="External"/><Relationship Id="rId85" Type="http://schemas.openxmlformats.org/officeDocument/2006/relationships/hyperlink" Target="https://www.sec.gov/Archives/edgar/data/1269026/000149315225008277/ex4-1.htm" TargetMode="External"/><Relationship Id="rId86" Type="http://schemas.openxmlformats.org/officeDocument/2006/relationships/hyperlink" Target="https://www.sec.gov/Archives/edgar/data/1269026/000149315225008277/ex4-2.htm" TargetMode="External"/><Relationship Id="rId87" Type="http://schemas.openxmlformats.org/officeDocument/2006/relationships/hyperlink" Target="https://www.sec.gov/Archives/edgar/data/1269026/000149315225008277/ex4-3.htm" TargetMode="External"/><Relationship Id="rId88" Type="http://schemas.openxmlformats.org/officeDocument/2006/relationships/hyperlink" Target="https://www.sec.gov/Archives/edgar/data/1269026/000149315225012834/ex10-2.htm" TargetMode="External"/><Relationship Id="rId89" Type="http://schemas.openxmlformats.org/officeDocument/2006/relationships/hyperlink" Target="https://www.sec.gov/Archives/edgar/data/1269026/000149315225012834/ex10-3.htm" TargetMode="External"/><Relationship Id="rId90" Type="http://schemas.openxmlformats.org/officeDocument/2006/relationships/hyperlink" Target="https://www.sec.gov/Archives/edgar/data/1269026/000149315225012834/ex10-4.htm" TargetMode="External"/><Relationship Id="rId91" Type="http://schemas.openxmlformats.org/officeDocument/2006/relationships/hyperlink" Target="https://www.sec.gov/Archives/edgar/data/1269026/000149315225012834/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2025-10-23T15:47:58Z</dcterms:created>
  <dcterms:modified xsi:type="dcterms:W3CDTF">2025-10-23T15:47:58Z</dcterms:modified>
</cp:coreProperties>
</file>