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424b5.htm"/>
      <w:bookmarkStart w:id="1" w:name="ksform424b5"/>
      <w:bookmarkEnd w:id="0"/>
      <w:bookmarkEnd w:id="1"/>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440"/>
        <w:gridCol w:w="2735"/>
      </w:tblGrid>
      <w:tr>
        <w:trPr/>
        <w:tc>
          <w:tcPr>
            <w:tcW w:w="3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tc>
      </w:tr>
      <w:tr>
        <w:trPr/>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November 27, 2023)</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333-274951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$6,413,876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SINTX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the Market Offering Agreement (the “Sales Agreement”), with H.C. Wainwright &amp; Co., LLC (“Wainwright” or the “sales agent”) relating to the sale of shares of our common stock, par value $0.01 per share (the “Common Stock”), offered by this prospectus supplement and the accompanying prospectus. In accordance with the terms of such Sales Agreement, we may offer and sell shares of our Common Stock having an aggregate offering price of up to $6,413,876 from time to time through or to Wainwright acting as our agent or principal.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tier of The Nasdaq Stock Market, LLC under the symbol “SINT.” The last reported sale price of our Common Stock on The Nasdaq Capital Market on October 2, 2025 was $4.11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 2025 the aggregate market value of our Common Stock held by our non-affiliates was $19,241,630, based upon 3,492,129 shares of our outstanding Common Stock held by non-affiliates at the per share price of $5.51, the closing sale price of our Common Stock on The Nasdaq Capital Market on September 5, 2025. Pursuant to General Instruction I.B.6 of Form S-3, in no event will we sell securities in a public offering with a value exceeding more than one-third of our “public float” (i.e., the aggregate market value of our Common Stock held by our non-affiliates) in any 12 calendar-month period so long as our public float remains below $75.0 million. During the 12 calendar months prior to and including the date of this prospectus supplement (but excluding this offering), we have not sold any securities in reliance on General Instruction I.B.6 of Form S-3. As a result, we are eligible to offer and sell up to an aggregate of $6,413,876 of our securities pursuant to General Instruction I.B.6. of Form S-3.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will be made in sales deemed to be an “at the market offering” as defined in Rule 415(a)(4) promulgated under the Securities Act of 1933, as amended (the “Securities Act”), including, without limitation, sales made directly on or through the Nasdaq Capital Market, the trading market for our Common Stock,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Wainwright is not required to sell any specific amount of securities but will act as our sales agent using commercially reasonable efforts consistent with its normal trading and sales practices, on mutually agreed terms between Wainwright and us. There is no arrangement for funds to be received in any escrow, trust or similar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Wainwright for sales of Common Stock sold pursuant to the Sales Agreement will be 3.0% of the gross proceeds of any shares of Common Stock sold under the Sales Agreement. In connection with the sale of the Common Stock on our behalf, Wainwright will be deemed to be an “underwriter” within the meaning of the Securities Act and the compensation of Wainwright will be deemed to be underwriting commissions or discounts. We have also agreed to provide indemnification and contribution to Wainwright with respect to certain liabilities, including liabilities under the Securities Act or the Securities Exchange Act of 1934, as amended (the “Exchange Act”). See the section titled “Plan of Distribution” on page S-8 of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referenced under the heading “Risk Factors” beginning on page S-3 of this prospectus supplement and under similar headings in the documents that are incorporated by reference into this prospectus supplement and the accompanying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H.C. Wainwright &amp; Co.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October 3,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245"/>
        <w:gridCol w:w="60"/>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me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w:t>
            </w:r>
          </w:p>
        </w:tc>
      </w:tr>
      <w:tr>
        <w:trPr/>
        <w:tc>
          <w:tcPr>
            <w:tcW w:w="6245" w:type="dxa"/>
            <w:tcBorders/>
            <w:shd w:fill="FFFFFF" w:val="clear"/>
            <w:vAlign w:val="center"/>
          </w:tcPr>
          <w:p>
            <w:pPr>
              <w:pStyle w:val="TableContents"/>
              <w:bidi w:val="0"/>
              <w:spacing w:before="0" w:after="283"/>
              <w:jc w:val="left"/>
              <w:rPr/>
            </w:pPr>
            <w:hyperlink w:anchor="me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6245" w:type="dxa"/>
            <w:tcBorders/>
            <w:shd w:fill="CCEEFF" w:val="clear"/>
            <w:vAlign w:val="center"/>
          </w:tcPr>
          <w:p>
            <w:pPr>
              <w:pStyle w:val="TableContents"/>
              <w:bidi w:val="0"/>
              <w:spacing w:before="0" w:after="283"/>
              <w:jc w:val="left"/>
              <w:rPr/>
            </w:pPr>
            <w:hyperlink w:anchor="me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shd w:fill="FFFFFF" w:val="clear"/>
            <w:vAlign w:val="center"/>
          </w:tcPr>
          <w:p>
            <w:pPr>
              <w:pStyle w:val="TableContents"/>
              <w:bidi w:val="0"/>
              <w:spacing w:before="0" w:after="283"/>
              <w:jc w:val="left"/>
              <w:rPr/>
            </w:pPr>
            <w:hyperlink w:anchor="me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CCEEFF" w:val="clear"/>
            <w:vAlign w:val="center"/>
          </w:tcPr>
          <w:p>
            <w:pPr>
              <w:pStyle w:val="TableContents"/>
              <w:bidi w:val="0"/>
              <w:spacing w:before="0" w:after="283"/>
              <w:jc w:val="left"/>
              <w:rPr/>
            </w:pPr>
            <w:hyperlink w:anchor="me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6245" w:type="dxa"/>
            <w:tcBorders/>
            <w:shd w:fill="FFFFFF" w:val="clear"/>
            <w:vAlign w:val="center"/>
          </w:tcPr>
          <w:p>
            <w:pPr>
              <w:pStyle w:val="TableContents"/>
              <w:bidi w:val="0"/>
              <w:spacing w:before="0" w:after="283"/>
              <w:jc w:val="left"/>
              <w:rPr/>
            </w:pPr>
            <w:hyperlink w:anchor="me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6245" w:type="dxa"/>
            <w:tcBorders/>
            <w:shd w:fill="CCEEFF" w:val="clear"/>
            <w:vAlign w:val="center"/>
          </w:tcPr>
          <w:p>
            <w:pPr>
              <w:pStyle w:val="TableContents"/>
              <w:bidi w:val="0"/>
              <w:spacing w:before="0" w:after="283"/>
              <w:jc w:val="left"/>
              <w:rPr/>
            </w:pPr>
            <w:hyperlink w:anchor="me_007">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6245" w:type="dxa"/>
            <w:tcBorders/>
            <w:shd w:fill="FFFFFF" w:val="clear"/>
            <w:vAlign w:val="center"/>
          </w:tcPr>
          <w:p>
            <w:pPr>
              <w:pStyle w:val="TableContents"/>
              <w:bidi w:val="0"/>
              <w:spacing w:before="0" w:after="283"/>
              <w:jc w:val="left"/>
              <w:rPr/>
            </w:pPr>
            <w:hyperlink w:anchor="me_008">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r>
      <w:tr>
        <w:trPr/>
        <w:tc>
          <w:tcPr>
            <w:tcW w:w="6245" w:type="dxa"/>
            <w:tcBorders/>
            <w:shd w:fill="CCEEFF" w:val="clear"/>
            <w:vAlign w:val="center"/>
          </w:tcPr>
          <w:p>
            <w:pPr>
              <w:pStyle w:val="TableContents"/>
              <w:bidi w:val="0"/>
              <w:spacing w:before="0" w:after="283"/>
              <w:jc w:val="left"/>
              <w:rPr/>
            </w:pPr>
            <w:hyperlink w:anchor="me_009">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245" w:type="dxa"/>
            <w:tcBorders/>
            <w:shd w:fill="FFFFFF" w:val="clear"/>
            <w:vAlign w:val="center"/>
          </w:tcPr>
          <w:p>
            <w:pPr>
              <w:pStyle w:val="TableContents"/>
              <w:bidi w:val="0"/>
              <w:spacing w:before="0" w:after="283"/>
              <w:jc w:val="left"/>
              <w:rPr/>
            </w:pPr>
            <w:hyperlink w:anchor="me_010">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245" w:type="dxa"/>
            <w:tcBorders/>
            <w:shd w:fill="CCEEFF" w:val="clear"/>
            <w:vAlign w:val="center"/>
          </w:tcPr>
          <w:p>
            <w:pPr>
              <w:pStyle w:val="TableContents"/>
              <w:bidi w:val="0"/>
              <w:spacing w:before="0" w:after="283"/>
              <w:jc w:val="left"/>
              <w:rPr/>
            </w:pPr>
            <w:hyperlink w:anchor="me_011">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245" w:type="dxa"/>
            <w:tcBorders/>
            <w:shd w:fill="FFFFFF" w:val="clear"/>
            <w:vAlign w:val="center"/>
          </w:tcPr>
          <w:p>
            <w:pPr>
              <w:pStyle w:val="TableContents"/>
              <w:bidi w:val="0"/>
              <w:spacing w:before="0" w:after="283"/>
              <w:jc w:val="left"/>
              <w:rPr/>
            </w:pPr>
            <w:hyperlink w:anchor="me_012">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5765"/>
        <w:gridCol w:w="60"/>
        <w:gridCol w:w="455"/>
      </w:tblGrid>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65" w:type="dxa"/>
            <w:tcBorders/>
            <w:shd w:fill="CCEEFF" w:val="clear"/>
            <w:vAlign w:val="center"/>
          </w:tcPr>
          <w:p>
            <w:pPr>
              <w:pStyle w:val="TableContents"/>
              <w:bidi w:val="0"/>
              <w:spacing w:before="0" w:after="283"/>
              <w:jc w:val="left"/>
              <w:rPr/>
            </w:pPr>
            <w:hyperlink w:anchor="ap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5765" w:type="dxa"/>
            <w:tcBorders/>
            <w:shd w:fill="FFFF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765"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65" w:type="dxa"/>
            <w:tcBorders/>
            <w:shd w:fill="FFFF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65"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65" w:type="dxa"/>
            <w:tcBorders/>
            <w:shd w:fill="FFFF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val="false"/>
                  <w:smallCaps w:val="false"/>
                  <w:sz w:val="20"/>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765" w:type="dxa"/>
            <w:tcBorders/>
            <w:shd w:fill="CCEEFF" w:val="clear"/>
            <w:vAlign w:val="center"/>
          </w:tcPr>
          <w:p>
            <w:pPr>
              <w:pStyle w:val="TableContents"/>
              <w:bidi w:val="0"/>
              <w:spacing w:before="0" w:after="283"/>
              <w:jc w:val="left"/>
              <w:rPr/>
            </w:pPr>
            <w:hyperlink w:anchor="ap_007">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765" w:type="dxa"/>
            <w:tcBorders/>
            <w:shd w:fill="FFFFFF" w:val="clear"/>
            <w:vAlign w:val="center"/>
          </w:tcPr>
          <w:p>
            <w:pPr>
              <w:pStyle w:val="TableContents"/>
              <w:bidi w:val="0"/>
              <w:spacing w:before="0" w:after="283"/>
              <w:jc w:val="left"/>
              <w:rPr/>
            </w:pPr>
            <w:hyperlink w:anchor="ap_008">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765" w:type="dxa"/>
            <w:tcBorders/>
            <w:shd w:fill="CCEEFF" w:val="clear"/>
            <w:vAlign w:val="center"/>
          </w:tcPr>
          <w:p>
            <w:pPr>
              <w:pStyle w:val="TableContents"/>
              <w:bidi w:val="0"/>
              <w:spacing w:before="0" w:after="283"/>
              <w:jc w:val="left"/>
              <w:rPr/>
            </w:pPr>
            <w:hyperlink w:anchor="ap_009">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765" w:type="dxa"/>
            <w:tcBorders/>
            <w:shd w:fill="FFFFFF" w:val="clear"/>
            <w:vAlign w:val="center"/>
          </w:tcPr>
          <w:p>
            <w:pPr>
              <w:pStyle w:val="TableContents"/>
              <w:bidi w:val="0"/>
              <w:spacing w:before="0" w:after="283"/>
              <w:jc w:val="left"/>
              <w:rPr/>
            </w:pPr>
            <w:hyperlink w:anchor="ap_010">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765" w:type="dxa"/>
            <w:tcBorders/>
            <w:shd w:fill="CCEEFF" w:val="clear"/>
            <w:vAlign w:val="center"/>
          </w:tcPr>
          <w:p>
            <w:pPr>
              <w:pStyle w:val="TableContents"/>
              <w:bidi w:val="0"/>
              <w:spacing w:before="0" w:after="283"/>
              <w:jc w:val="left"/>
              <w:rPr/>
            </w:pPr>
            <w:hyperlink w:anchor="ap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765" w:type="dxa"/>
            <w:tcBorders/>
            <w:shd w:fill="FFFFFF" w:val="clear"/>
            <w:vAlign w:val="center"/>
          </w:tcPr>
          <w:p>
            <w:pPr>
              <w:pStyle w:val="TableContents"/>
              <w:bidi w:val="0"/>
              <w:spacing w:before="0" w:after="283"/>
              <w:jc w:val="left"/>
              <w:rPr/>
            </w:pPr>
            <w:hyperlink w:anchor="ap_012">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CCEEFF" w:val="clear"/>
            <w:vAlign w:val="center"/>
          </w:tcPr>
          <w:p>
            <w:pPr>
              <w:pStyle w:val="TableContents"/>
              <w:bidi w:val="0"/>
              <w:spacing w:before="0" w:after="283"/>
              <w:jc w:val="left"/>
              <w:rPr/>
            </w:pPr>
            <w:hyperlink w:anchor="ap_013">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FFFFFF" w:val="clear"/>
            <w:vAlign w:val="center"/>
          </w:tcPr>
          <w:p>
            <w:pPr>
              <w:pStyle w:val="TableContents"/>
              <w:bidi w:val="0"/>
              <w:spacing w:before="0" w:after="283"/>
              <w:jc w:val="left"/>
              <w:rPr/>
            </w:pPr>
            <w:hyperlink w:anchor="ap_014">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CCEEFF" w:val="clear"/>
            <w:vAlign w:val="center"/>
          </w:tcPr>
          <w:p>
            <w:pPr>
              <w:pStyle w:val="TableContents"/>
              <w:bidi w:val="0"/>
              <w:spacing w:before="0" w:after="283"/>
              <w:jc w:val="left"/>
              <w:rPr/>
            </w:pPr>
            <w:hyperlink w:anchor="ap_015">
              <w:r>
                <w:rPr>
                  <w:rStyle w:val="InternetLink"/>
                  <w:rFonts w:ascii="Times New Roman;Times;Serif" w:hAnsi="Times New Roman;Times;Serif"/>
                  <w:b w:val="false"/>
                  <w:i w:val="false"/>
                  <w:caps w:val="false"/>
                  <w:smallCaps w:val="false"/>
                  <w:sz w:val="20"/>
                </w:rPr>
                <w:t>INCORPORATION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 w:name="me_001"/>
      <w:bookmarkEnd w:id="2"/>
      <w:r>
        <w:rPr>
          <w:rFonts w:ascii="Times New Roman;Times;Serif" w:hAnsi="Times New Roman;Times;Serif"/>
          <w:b/>
          <w:i w:val="false"/>
          <w:caps/>
          <w:sz w:val="20"/>
        </w:rPr>
        <w:t>ABOUT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on Form S-3 with the U.S. Securities and Exchange Commission (“SEC”), using a “shelf” registration process. By using a shelf registration statement, we may sell an unspecified amount of securities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relates to the offering of our Common Stock. Under this prospectus supplement and the accompanying prospectus, we may offer and sell shares of our Common Stock having an aggregate offering price of up to $6,413,876 from time to time through Wainwright acting as our agent or principal at prices and on terms to be determined by market conditions at the time of the offering. We provide information to you about this offering of shares of our Common Stock in two separate documents that are bound together: (1) this prospectus supplement, including the documents incorporated by reference therein, which describes the specific details regarding this offering; and (2) the accompanying prospectus, including the documents incorporated by reference therein,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“Incorporation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 warranties, and covenants should not be relied upon as accurately representing the current state of our 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Wainwright has not, authorized anyone to provide any information other than that contained in or incorporated by reference in this prospectus supplement, the accompanying prospectus and any free writing prospectus prepared by or on behalf of us or to which we have referred you. We and Wainwright take no responsibility for, and can provide no assurance as to the reliability of, any other information that others may give you. We are not, and Wainwright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or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into this prospectus supplement, the accompanying prospectus and any free writing prospectus that we may authorize for use in connection with this offering, in their entirety before making an investment decision.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“SINTX,” “we,” “our,” “us” and the “Company” in this prospectus supplement and the accompanying prospectus, we mean SINTX Technologies, Inc. and our subsidiaries, unless otherwise specified.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This prospectus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me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the heading “Risk Factors,” included in our most recent Annual Report on Form 10-K, as revised or supplemented by our subsequent Quarterly Reports on Form 10-Q or our Current Reports on Form 8-K that we have filed with the SEC, as well as those discussed in this prospectus supplement, the accompanying prospectus and in the documents incorporated by reference. You are cautioned not to place undue reliance on these forward-looking statements, which speak only as of the date of this prospectus supplement or, in the case of documents referred to or incorporated by reference, the date of those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or oral forward-looking statements attributable to us or any person acting on our behalf are expressly qualified in their entirety by the cautionary statements contained or referred to in this section. Our forward-looking statements do not reflect the potential impact of any future acquisitions, mergers, dispositions, joint ventures or investments we may make. No forward-looking statement is a guarantee of future performance.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documents that we reference and incorporate by reference in this prospectus supplement and the accompanying prospectus and have filed as exhibits to the registration statement, of which this prospectus is a part, completely and with the understanding that our actual future results may be materially different from what we expect.</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 w:name="me_003"/>
      <w:bookmarkEnd w:id="4"/>
      <w:r>
        <w:rPr>
          <w:rFonts w:ascii="Times New Roman;Times;Serif" w:hAnsi="Times New Roman;Times;Serif"/>
          <w:b/>
          <w:i w:val="false"/>
          <w:caps/>
          <w:sz w:val="20"/>
        </w:rPr>
        <w:t>PROSPECTUS SUPPLEMENT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beginning on page S-3 of this prospectus supplement and under the section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our Annual Report on Form 10-K for the year ended December 31, 2024, and any amendment or update thereto reflected in subsequent filings with the SEC, along with our financial statements and notes to those financial statements and the other information incorporated by reference in this prospectus supplement and the accompanying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an advanced ceramics company formed in December 1996, that develops and commercializes materials, components, and technologies for medical and agribiotech applications. SINTX provides biomedical solutions for medical devices specializing in silicon nitride (Si₃N₄) for musculoskeletal and antipathogenic applications. SINTX is a global leader in the research, development, and manufacturing of silicon nitride, and its products have been implanted in humans since 2008. We have grown from focusing primarily on the research, development and commercialization of medical devices manufactured with silicon nitride to becoming an advanced ceramics company engaged in diverse fields, including biomedical and antipathogenic applications. This diversification enables us to focus on our core competencies which are the manufacturing, research, and development of products comprised from advanced ceramic materials. We seek to connect with new customers, partners and manufacturers to help them realize the goal of leveraging our expertise in advanced ceramics to create new, innovative products across these sectors.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been focused on medical grade silicon nitride. SINTX biomedical products have been shown to 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July 2025, SINTX submitted a 510(k) premarket notification to the U.S. Food and Drug Administration (“FDA”) for its novel silicon nitride osteotomy wedges, marking its official entry into the foot and ankle reconstruction market. These next-generation implants blend cutting-edge biomaterials science with surgical precision and are designed to elevate standards in orthopedic procedures. Bacterial infection of any biomaterial implants is always a concern. SINTX silicon nitride has been shown to be resistant to bacterial colonization and biofilm formation, making it antibacterial. SINTX silicon nitride products can be polished to a smooth and wear-resistant surface for articulating applications, such as bearings for hip and knee replacements.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Today, there is a global need to improve protection against pathogens in everyday life.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ASD9100D certified. The Company’s products are primarily sold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at 1885 West 2100 South, Salt Lake City, Utah 84119, and our telephone number is (801) 839-3500. We maintain a website at https://www.sintx.com. Information on the website is not incorporated by reference and is not a part of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include trademarks, service marks and trade names owned by us or other companies. All trademarks, service marks and trade names included herein are the property of their respective owners.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me_004"/>
      <w:bookmarkEnd w:id="5"/>
      <w:r>
        <w:rPr>
          <w:rFonts w:ascii="Times New Roman;Times;Serif" w:hAnsi="Times New Roman;Times;Serif"/>
          <w:b/>
          <w:i w:val="false"/>
          <w:caps/>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6"/>
        <w:gridCol w:w="60"/>
        <w:gridCol w:w="8089"/>
      </w:tblGrid>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having an aggregate offering price of up to $6,413,876.</w:t>
            </w:r>
          </w:p>
        </w:tc>
      </w:tr>
      <w:tr>
        <w:trPr/>
        <w:tc>
          <w:tcPr>
            <w:tcW w:w="2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immediately following the offering</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5,153,989 shares, assuming sales of 1,568,133 shares in this offering at an assumed offering price of $4.09 per share, which was the last reported sale price of our Common Stock on The Nasdaq Capital Market on September 30, 2025. The actual number of shares issued will vary depending on how many shares of our Common Stock we choose to sell and the prices at which such sales occur.</w:t>
            </w:r>
          </w:p>
        </w:tc>
      </w:tr>
      <w:tr>
        <w:trPr/>
        <w:tc>
          <w:tcPr>
            <w:tcW w:w="2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At the market offering” that may be made from time to time on The Nasdaq Capital Market or other market for our Common Stock in the United States through or to Wainwright, as our sales agent or principal. See the section entitled “Plan of Distribution” in this prospectus supplement. </w:t>
            </w:r>
          </w:p>
        </w:tc>
      </w:tr>
      <w:tr>
        <w:trPr/>
        <w:tc>
          <w:tcPr>
            <w:tcW w:w="2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together with our existing cash and cash equivalents, for working capital and other general corporate purposes. See “Use of Proceeds.”</w:t>
            </w:r>
          </w:p>
        </w:tc>
      </w:tr>
      <w:tr>
        <w:trPr/>
        <w:tc>
          <w:tcPr>
            <w:tcW w:w="2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“Risk Factors” on page S-3 in this prospectus supplement and the other information included in, or incorporated by reference into, this prospectus supplement and the accompanying prospectus for a discussion of certain factors you should carefully consider before deciding to invest in shares of our Common Stock.</w:t>
            </w:r>
          </w:p>
        </w:tc>
      </w:tr>
      <w:tr>
        <w:trPr/>
        <w:tc>
          <w:tcPr>
            <w:tcW w:w="2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60"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3,585,856 shares of Common Stock outstanding as of September 30, 2025 and excludes, in each case as of September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835,168 shares of common stock issuable upon the exercise of outstanding options at a weighted average exercise price of $9.71 per share and restricted stock units granted under our equity incentive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3,138,360 shares of common stock issuable upon the exercise of outstanding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7,385 shares of our common stock issuable upon the conversion of 19 shares of series B convertible preferred stock outstanding;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our common stock issuable upon the conversion of 50 shares of series C convertible preferred stock outstanding;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shares of common stock reserved for issuance upon conversion of 180 shares of the Series D Preferred Stock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information in this prospectus supplement, including the number of shares outstanding after this offering, does not reflect (i) any issuance, exercise, vesting, expiration, or forfeiture of any additional equity awards under our incentive plans that occurred after September 30, 2025 or (ii) the effect of the “full-ratchet” anti-dilution adjustment of the conversion price of our outstanding Series B Convertible Preferred Stock and the exercise price of our outstanding warrants issued in our October 2022 rights offering. Except as otherwise indicated, all information in this prospectus supplement assumes no exercise of outstanding stock options or warrants described above.</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me_005"/>
      <w:bookmarkEnd w:id="6"/>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the accompanying prospectus, and all other information contained or incorporated by reference into this prospectus supplement and the accompanying prospectus, as updated by our subsequent filings under the Exchange Act, before acquiring any of such securities. The occurrence of any of these risks might cause you to lose all or part of your investment in the offered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outstanding shares of convertible preferred stock and Common Stock purchase warrants which contain anti-dilution protections, which may cause significant dilution to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outstanding 19 shares of Series B convertible preferred stock convertible into an aggregate of 7,385 shares of Common Stock at a conversion price of $4.20 per share and warrants issued in October 2022 that are exercisable for an aggregate of 3,084 shares of Common Stock (the “October 2022 Warrants”). The October 2022 Warrants are exercisable at an exercise price of $4.20 per share. The Series B convertible preferred stock and October 2022 Warrants contain full-ratchet anti-dilution provisions which, subject to limited exceptions, would reduce the conversion price of the Series B preferred stock (and increase the number of shares issuable under the Series B preferred stock) and reduce the exercise price of the October 2022 Warrants in the event that we in the future issue Common Stock, or securities convertible into or exercisable to purchase Common Stock, at a price per share lower than the conversion price or exercise price then in effect. On February 10, 2023, the Company closed on a public offering of 10,750 units, with each unit consisting of one share of common stock, or one pre-funded warrant to purchase one share of its common stock, one Class C warrant to purchase one share of common stock (the “Class C Warrants”), and one half of one Class D warrant with each whole Class D Warrant entitling the holder to purchase one share of common stock (the “Class D Warrants”). The Class C Warrants and Class D Warrants include alternative cashless exercise provisions allowing for such warrants to be cashless exercised in an amount equal to 80% of the shares for which such warrants are exercisable on a cash basis. The alternative cashless exercise provisions contained in the Class C Warrants and Class D Warrants could potentially result in a significant reduction in the conversion or exercise price of the Series B convertible preferred stock and October 2022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Common Stock upon exercise of these warrants, or the sale of Common Stock in any offering, including this offering, could trigger the full-ratchet anti-dilution provisions of the Series B convertible preferred stock and October 2022 Warrants if such shares are issued or sold at prices below the then conversion price of the Series B preferred stock or exercise price of the October 2022 Warrants. A reduction in the conversion price of the Series B preferred stock would increase the number of shares of our Common Stock issuable upon conversion of the Series B preferred stock. The shares of Common Stock sold in this offering, if any, will be sold from time to time at various prices, and this “full-ratchet” anti-dilution provision will be triggered if the Common Stock is sold in this offering at a price below the then conversion price of the Series B preferred stock or exercise price of the October 2022 Warrants.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use the proceeds in ways with which you disagree.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allocated specific amounts of the net proceeds from this offering for any specific purpose. Our management will have broad discretion in the application of the net proceeds from this offering, including for any of the purposes described in the section entitled “Use of Proceeds.” You will be relying on the judgment of our management with regard to the use of these net proceeds, and you will not have the opportunity, as part of your investment decision, to assess whether the proceeds are being used appropriately.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It is possible that the net proceeds will be invested in a way that does not yield a favorable, or any, return for us. If we do not use such funds effectively, our business, financial condition, operating results, and cash flow could be adversely affected</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instructions to Wainwright to sell shares of our Common Stock at any time throughout the term of the Sales Agreement. The number of shares that are sold through Wainwright after our instruction will fluctuate based on a number of factors, including the market price of our Common Stock during the sales period, the limits we set with Wainwright in any instruction to sell shares,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shares of our common stock in the public markets, including pursuant to the Sales Agreement, or the perception that such sales could occur, could depress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markets could depress the market price of our common stock and impair our ability to raise capital through the sale of additional equity securities. We cannot predict the size of future issuances or sales of shares of our Common Stock, including those made pursuant to the Sales Agreement with the sales agent or in connection with future acquisitions or capital raising activities, or the effect, if any, that such issuances or sales may have on the market price of our Common Stock. The issuance and sale of substantial amounts of shares of our Common Stock, including issuances and sales pursuant to the Sales Agreement, or announcement that such issuances and sales may occur, could adversely affect the market price of our Common Stock. If there are more shares of Common Stock offered for sale than buyers are willing to purchase, then the market price of our Common Stock may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sales of stock by any of our executive officers or directors could have a material adverse effect on the trading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at any time, including during the pendency of this offering,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investors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our Common Stock sold in this offering, you may incur immediate and substantial dilution.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public offering price per share in this offering may exceed the pro forma as-adjusted net tangible book value per share of our outstanding Common Stock. After giving effect to an assumed sale of shares of Common Stock in the aggregate amount of $6,413,876 at an assumed public offering price of $4.09 per share, which was the last reported sale price per share of our Common Stock on The Nasdaq Capital Market on September 30, 2025, and after deducting the commissions and estimated offering expenses payable by us, you would incur immediate and substantial dilution in the amount of $1.28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of Common Stock paid by you in this offering. Further, the exercise of outstanding options or warrants could result in further dilution to investors and any additional shares issued in connection with acquisitions will result in dilution to investors. In addition, the market price of our Common Stock could fall as a result of resales of any of these shares of Common Stock due to an increased number of shares available for sale in the market.</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volatile, and you could lose all or part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orthopedic company stocks, including shares of our Common Stock, often do not correlate to macro, industry or company-specific fundamentals. Some of the factors that may cause the market price of our Common Stock to fluctuate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sentiment of retail investors (including as may be expressed on financial trading and other social media sites and online forums);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access by retail investors to broadly available trading platforms;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status of short interest in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margin debt;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in options and other derivatives on our Common Stock and any related hedging;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CTL Medical’s ability to sell silicon nitride based spinal fusion products and our cost of manufacturing such products for CTL Medical;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obtain regulatory clearances or approvals for, and market new and enhanced product candidates on a timely basis;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OEM and private label partnership agreements and the terms of those agreements;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products that are effective in antipathogenic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regulations or in the status of our regulatory approvals, clearances or future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announcements or our competitors’ announcements regarding new products, product enhancements, significant contracts, number and productivity of distributors, number of hospitals and surgeons using products, acquisitions or strategic investments;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or medical innovations for the treatment of orthopedic pathology;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other problems with the manufacturing of our products, product candidates and related instrumentation;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and timing of orders for our products and our product candidates, if and when commercialized;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third-party reimbursement in the United States and other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variations in our or our competitors’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securities analysts, if any, who cover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estimates or recommendations by securities analysts, if any, who cover our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our derivative liabilities resulting from changes in the market price of our Common Stock, which may result in significant fluctuations in our quarterly and annual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healthcare policy in the United States and internationally;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or other litigation involving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aggregate number of shares of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large blocks of our Common Stock, including sales by our executive officers, directors and significant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with respect to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tax policy;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external factors may cause the market price and demand for our Common Stock to fluctuate substantially, which may limit or prevent our stockholders from readily selling their shares of our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our stockholders brought a lawsuit against us, we could incur substantial costs defending the lawsuit regardless of the merits of the case or the eventual outcome. Such a lawsuit also would divert the time and attention of our management from running our company.</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me_006"/>
      <w:bookmarkEnd w:id="7"/>
      <w:r>
        <w:rPr>
          <w:rFonts w:ascii="Times New Roman;Times;Serif" w:hAnsi="Times New Roman;Times;Serif"/>
          <w:b/>
          <w:i w:val="false"/>
          <w:caps/>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$6,413,876 from time to time. Because there is no minimum offering amount required as a condition of this offering, the actual total public offering amount, commissions and proceeds to us, if any, are not determinable at this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primarily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 We have broad discretion in determining how the remaining proceeds of this offering will be used, and our discretion is not limited by the aforementioned possible uses. Our board of directors believes the flexibility in application of the net proceeds is prudent. See “Risk Factors—Risks Relating to this Offering—</w:t>
      </w:r>
      <w:r>
        <w:rPr>
          <w:rFonts w:ascii="Times New Roman;Times;Serif" w:hAnsi="Times New Roman;Times;Serif"/>
          <w:b w:val="false"/>
          <w:i/>
          <w:caps w:val="false"/>
          <w:smallCaps w:val="false"/>
          <w:sz w:val="20"/>
        </w:rPr>
        <w:t>We have broad discretion in the use of the net proceeds from this offering and may use the proceeds in ways with which you disagree.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8" w:name="me_007"/>
      <w:bookmarkEnd w:id="8"/>
      <w:r>
        <w:rPr>
          <w:rFonts w:ascii="Times New Roman;Times;Serif" w:hAnsi="Times New Roman;Times;Serif"/>
          <w:b/>
          <w:i w:val="false"/>
          <w:caps/>
          <w:sz w:val="20"/>
        </w:rPr>
        <w:t>DILUTION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your interest may be diluted to the extent of the difference between the price per share you pay in this offering and the net tangible book value per share of our Common Stock immediately after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of our Common Stock as of June 30, 2025, was approximately $3.97 million, or approximately $1.60 per share of Common Stock based upon 2,486,646 shares of Common Stock outstanding as of such date. Net tangible book value per share is equal to our total tangible assets, less our total liabilities, divided by the total number of shares outstanding as of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June 30, 2025, was $$7.32 million, or approximately $2.28 per share of Common Stock, based upon 3,210,519 shares of Common Stock outstanding as of such date. Pro forma net tangible book value per share is equal to our total tangible assets, less our total liabilities, divided by the total number of shares outstanding as of June 30, 2025, after giving effect to the issuance of 723,873 shares of our Common Stock subsequent to June 30, 2025, for net proceeds of approximately $3.35 million pursuant to our warrant inducement offering that closed on September 8, 2025(the “Pro Forma Adjustments”).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assumed sale of our Common Stock in the aggregate amount of $6,413,876 at an assumed offering price of $4.09 per share of Common Stock, the last reported sale price of our Common Stock on The Nasdaq Capital Market on September 30, 2025, and after deducting offering commissions and estimated aggregate offering expenses payable by us, our pro forma as adjusted net tangible book value as of June 30, 2025 would have been approximately $13.5 million, or $2.81 per share of Common Stock. This represents an immediate increase in pro forma net tangible book value of $0.53 per share of Common Stock to our existing stockholders and an immediate dilution in the pro forma as adjusted net tangible book value of $1.28 per share of Common Stock to new investors in this offering at the assumed public offering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share basis: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jc w:val="both"/>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4.09</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both"/>
              <w:rPr/>
            </w:pPr>
            <w:r>
              <w:rPr/>
              <w:t>Net tangible book value per share as of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both"/>
              <w:rPr/>
            </w:pPr>
            <w:r>
              <w:rPr/>
              <w:t>Increase in net tangible book value per share attributable to the Pro Forma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both"/>
              <w:rPr/>
            </w:pPr>
            <w:r>
              <w:rPr/>
              <w:t>Pro forma net tangible book value per share as of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both"/>
              <w:rPr/>
            </w:pPr>
            <w:r>
              <w:rPr/>
              <w:t>Increase in pro forma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both"/>
              <w:rPr/>
            </w:pPr>
            <w:r>
              <w:rPr/>
              <w:t>Pro forma as adjusted net tangible book value per share after giving effect to the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both"/>
              <w:rPr/>
            </w:pPr>
            <w:r>
              <w:rPr/>
              <w:t>Dilution in pro forma as adjusted net tangible book value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as adjusted information is illustrative only and will adjust based on the actual price to the public, the actual number of shares of Common Stock sold and other terms of the offering determined at the time shares of Common Stock are sold pursuant to this prospectus supplement and the accompanying prospectus. The pro forma as adjusted information assumes that all of our shares of Common Stock in the aggregate amount of $6,413,876 are sold at the assumed offering price of $4.09 per share, the last reported sale price of our Common Stock on Nasdaq on September 30, 2025. The shares of Common Stock sold in this offering, if any, will be sold from time to time at various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2,486,646 shares of Common Stock outstanding as of June 30, 2025 and excludes, in each case as of June 30,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267,527 shares of Common Stock issuable upon the exercise of outstanding options with a weighted average exercise price of $20.31 per share and restricted stock units granted under our equity incentive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1,984,462 shares of common stock issuable upon the exercise of outstanding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7,385 shares of our Common Stock issuable upon the conversion of 19 shares of series B convertible preferred stock outstanding;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our Common Stock issuable upon the conversion of 50 shares of series C convertible preferred stock outstanding;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shares of common stock reserved for issuance upon conversion of 180 shares of the Series D Preferred Stock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information in this prospectus supplement, including the number of shares outstanding after this offering, does not reflect (i) any issuance, exercise, vesting, expiration, or forfeiture of any additional equity awards under our incentive plans that occurred after June 30, 2025 or (ii) the effect of the “full-ratchet” anti-dilution adjustment of the conversion price of our outstanding Series B Convertible Preferred Stock and the exercise price of our outstanding warrants issued in our October 2022 rights offering. Except as otherwise indicated, all information in this prospectus supplement assumes no exercise of outstanding stock options or warrants described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choose to raise additional capital through the sale of equity or convertible debt securities due to market conditions or strategic considerations even if we believe we have sufficient funds for our current or future operating plans. New investors may experience further dilution if any of our outstanding options are exercised, new options are issued and exercised under our equity incentive plans or we issue additional shares of Common Stock, other equity securities or convertible debt securities in the future.</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9" w:name="me_008"/>
      <w:bookmarkEnd w:id="9"/>
      <w:r>
        <w:rPr>
          <w:rFonts w:ascii="Times New Roman;Times;Serif" w:hAnsi="Times New Roman;Times;Serif"/>
          <w:b/>
          <w:i w:val="false"/>
          <w:caps/>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Wainwright, as our sales agent, under which we may offer and sell from time to time shares of our Common Stock pursuant to this prospectus supplement and accompanying prospectus. The sales, if any, of shares of our Common Stock made under the Sales Agreement may be made in sales deemed to be “at-the-market offerings” as defined in Rule 415 under the Securities Act, including, without limitation, sales made directly on or through the Nasdaq Capital Market, the trading market for our Common Stock,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designate the maximum amount of shares of our Common Stock to be sold through the sales agent on a daily basis or otherwise as we and the sales agent agree and the minimum price per share at which such shares may be sold. Subject to the terms and conditions of the Sales Agreement, the sales agent will use its commercially reasonable efforts to sell on our behalf all of the designated shares. We may instruct the sales agent not to sell any shares if the sales cannot be effected at or above the price designated by us in any such instruction. We or the sales agent may suspend the offering of shares at any time and from time to time by notifying the other party. We cannot predict the number of shares that we may sell hereby or if any shares will be sold.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Common Stock will occur on the first trading day (or such other settlement cycle as may be in effect under Exchange Act Rule 15c6-1 from time to time) following the date on which any sales are made, in return for payment of the net proceeds to us. There is no arrangement for funds to be received in an escrow, trust or similar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 a commission of 3.0% of the gross sales price per share sold through it as our agent under the Sales Agreement. Because there is no minimum offering amount required as a condition to this offering, the actual total public offering amount, commissions and proceeds to us, if any, are not determinable at this time. Pursuant to the terms of the Sales Agreement, we agreed to reimburse Wainwright for the fees and expenses of its legal counsel in connection with entering into the transactions contemplated by the Sales Agreement in an amount not to exceed $100,000, in addition to the reimbursement of up to $3,500 per due diligence update session for a Quarterly Report on Form 10-Q and up to $5,000 per due diligence update session for an Annual Report on Form 10-K. Wainwright’s counsel’s fees and any incidental expenses. We estimate that the total expenses of this offering payable by us, excluding commissions payable to the sales agent under the Sales Agreement, will be approximately $150,000.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granted Wainwright a right of first refusal to act as exclusive financial advisor, sole book-running manager, underwriter, placement agent or agent, as applicable, for future strategic transactions, financing or refinancing of indebtedness or public or private offering of equity, equity-linked or debt securities by us or any of our subsidiaries following the date of the Sales Agreement and until the 12-month anniversary of date of this prospectus supplement, subject to FINRA Rule 5110(g)(6)(A).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provide to us written confirmation following the close of trading on The Nasdaq Capital Market each day in which shares are sold under the Sales Agreement. We will report in our filings under the Exchange Act, at least quarterly the number of shares sold by or through the sales agent under the Sales Agreement, the net proceeds to us and the aggregate compensation of the sales agent in connection with sales of the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Sales Agreement, we also may sell shares of our Common Stock to the sales agent, as principal for its own account, at a price per share agreed upon at the time of sale. If we sell shares to the sales agent as principal, we will enter into a separate term agreement with the sales agent and we will describe the agreement in a separate prospectus supplement or pricing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Regulation M, Wainwright will not engage in any market making activities involving our shares of Common Stock while the offering is ongoing under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pursuant to the Sales Agreement will terminate upon the termination of the Sales Agreement by us or by the sales agent as provided therein or upon the sale of all the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on our behalf, the sales agent will be deemed to be an “underwriter” within the meaning of the Securities Act, and the compensation paid to the sales agent will be deemed to be underwriting commissions or discounts. We have agreed to provide indemnification and contribution to the sales agent against certain liabilities, including civil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trades under the symbol “SINT.” The transfer agent and registrar for our Common Stock is Equiniti Trust Company, LLC. The transfer agent and the registrar’s address is 6201 15th Avenue, Brooklyn, NY 11219.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Wainwright and its affiliates have provided, and may in the future provide, various investment banking, commercial banking and other financial services for us and our affiliates, for which services they may in the future receive customary fees and commissions. In September 2025, Wainwright acted as placement agent in connection with our warrant inducement transaction and received customary fees. In addition, in the ordinary course of its various business activities, the sales agent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The sales agent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0" w:name="me_009"/>
      <w:bookmarkEnd w:id="10"/>
      <w:r>
        <w:rPr>
          <w:rFonts w:ascii="Times New Roman;Times;Serif" w:hAnsi="Times New Roman;Times;Serif"/>
          <w:b/>
          <w:i w:val="false"/>
          <w: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this offering and the validity of the securities offered by this prospectus supplement will be passed upon for us by Dorsey &amp; Whitney LLP, Salt Lake City, Utah. Wainwright is being represented in connection with this offering by Ellenoff Grossman &amp; Schole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me_010"/>
      <w:bookmarkEnd w:id="11"/>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SINTX Technologies, Inc. appearing in SINTX Technologies, Inc.’s Annual Report on Form 10-K for the fiscal year ended December 31, 2024 have been audited by TANNER LLC, independent registered public accounting firm, as set forth in their report thereon included therein, and incorporated herein by reference. Such financial statements are incorporated herein by reference in reliance upon the report of TANNER LLC pertaining to such financial statements given on the authority of such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me_011"/>
      <w:bookmarkEnd w:id="12"/>
      <w:r>
        <w:rPr>
          <w:rFonts w:ascii="Times New Roman;Times;Serif" w:hAnsi="Times New Roman;Times;Serif"/>
          <w:b/>
          <w:i w:val="false"/>
          <w: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www.sintx.com. The information on our website, however, is not, and should not be deemed to be, a part of this prospectus supplement or the accompanying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that we filed with the SEC and does not contain all of the information in the registration statement. The full registration statement may be obtained from the SEC or us, as provided below. Contracts, agreements or other documents are or may be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me_012"/>
      <w:bookmarkEnd w:id="13"/>
      <w:r>
        <w:rPr>
          <w:rFonts w:ascii="Times New Roman;Times;Serif" w:hAnsi="Times New Roman;Times;Serif"/>
          <w:b/>
          <w:i w:val="false"/>
          <w:caps w:val="false"/>
          <w:smallCaps w:val="false"/>
          <w:sz w:val="20"/>
        </w:rPr>
        <w:t>INFORMATION INCORPORATED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to the extent that a statement contained in this prospectus or a subsequently filed document incorporated by reference modifies or replaces that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incorporate by reference the documents set forth below that have previously been filed with the SEC:</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2024, filed with the SEC on March 19,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period ended </w:t>
            </w:r>
            <w:hyperlink r:id="rId4">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6">
              <w:r>
                <w:rPr>
                  <w:rStyle w:val="InternetLink"/>
                  <w:rFonts w:ascii="Times New Roman;Times;Serif" w:hAnsi="Times New Roman;Times;Serif"/>
                  <w:b w:val="false"/>
                  <w:i w:val="false"/>
                  <w:caps w:val="false"/>
                  <w:smallCaps w:val="false"/>
                  <w:sz w:val="20"/>
                </w:rPr>
                <w:t>February 20,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26,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13,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April 8,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7,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September 5, 2025</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September 9, 2025</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which is contained in the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as filed with the SEC on February 7, 2014, as updated by the description of our common stock contained in </w:t>
            </w:r>
            <w:hyperlink r:id="rId15">
              <w:r>
                <w:rPr>
                  <w:rStyle w:val="InternetLink"/>
                  <w:rFonts w:ascii="Times New Roman;Times;Serif" w:hAnsi="Times New Roman;Times;Serif"/>
                  <w:b w:val="false"/>
                  <w:i w:val="false"/>
                  <w:caps w:val="false"/>
                  <w:smallCaps w:val="false"/>
                  <w:sz w:val="20"/>
                </w:rPr>
                <w:t>Exhibit 4.18</w:t>
              </w:r>
            </w:hyperlink>
            <w:r>
              <w:rPr>
                <w:rFonts w:ascii="Times New Roman;Times;Serif" w:hAnsi="Times New Roman;Times;Serif"/>
                <w:b w:val="false"/>
                <w:i w:val="false"/>
                <w:caps w:val="false"/>
                <w:smallCaps w:val="false"/>
                <w:sz w:val="20"/>
              </w:rPr>
              <w:t xml:space="preserve"> to our Annual Report on Form 10-K for the year ended December 31, 2022, including any amendment or report filed for the purpose of updating such description.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 West 2100 South,</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Salt Lake City, Utah 84119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 839-3500</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SINTX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$75,000,000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Rights and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up to $75.0 million of any combination of the securities described in this prospectus, either individually or in combination. We may also offer shares of common stock or shares of preferred stock upon conversion of debt securities, shares of common stock upon conversion of shares of preferred stock, or shares of common stock, shares of preferred stock or debt securities upon the 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sell securities, we will provide specific terms of the securities offered in a supplement to this prospectus. We may also authorize one or more free writing prospectuses to be provided to you in connection with these offerings. A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 this prospectus before you invest in any securities. This prospectus may not be used to consummate a sale of securities unless accompanied by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“SINT”. On November 17, 2023, the last reported sale price for our common stock was $0.4354 per share. As of November 21, 2023, the aggregate market value of our outstanding common stock held by non-affiliates, or the public float, was approximately $3,437,003, which was calculated based on 4,207,374 shares of outstanding common stock held by non-affiliates and on a price per share of $0.8169, the closing price of our common stock on The NASDAQ Capital Market on October 10, 2023. During the 12 calendar months prior to and including the date of this prospectus, we have sold approximately $38,183 of shares of common stock pursuant to General Instruction I.B.6 of Form S-3. Pursuant to General Instruction I.B.6 of Form S-3, in no event will we sell securities registered on this registration statement in a public primary offering with a value exceeding more than one-third of our public float (the market value of our common stock held by our non-affiliates) in any 12-month period so long as our public float remains below $75.0 million. As of November 21, 2023, one-third of our public float is equal to approximately $1,145,667. The applicable prospectus supplement will contain information, where applicable, as to any other listing on The NASDAQ Capital Market or any securities market or other exchange of the securities, if any, covered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REVIEW CAREFULLY THE RISKS AND UNCERTAINTIES DESCRIBED UNDER THE HEADING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ON PAGE 5 AND CONTAINED IN THE APPLICABLE PROSPECTUS SUPPLEMENT AND ANY RELATED FREE WRITING PROSPECTUS AND UNDER SIMILAR HEADINGS IN THE OTHER DOCUMENTS THAT ARE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to investors, through agents designated from time to time or to or through underwriters or dealers. For additional information on the methods of sale, you should refer to the section entitled “Plan of Distribution” in this prospectus. If any underwriters or agents are involved in the sale of any securities with respect to which this prospectus is being delivered, the names of such underwriters or agents and any applicable commissions or discounts and over-allotment options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2023</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p_001">
              <w:r>
                <w:rPr>
                  <w:rStyle w:val="InternetLink"/>
                  <w:rFonts w:ascii="Times New Roman;Times;Serif" w:hAnsi="Times New Roman;Times;Serif"/>
                  <w:b w:val="false"/>
                  <w:i w:val="false"/>
                  <w:caps/>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sz w:val="20"/>
                </w:rPr>
                <w:t>SPECIAL NOTE REGARDING FORWARD-LOOKING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sz w:val="20"/>
                </w:rPr>
                <w:t>PROSPECTUS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sz w:val="20"/>
                </w:rPr>
                <w:t>DESCRIPTION OF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7">
              <w:r>
                <w:rPr>
                  <w:rStyle w:val="InternetLink"/>
                  <w:rFonts w:ascii="Times New Roman;Times;Serif" w:hAnsi="Times New Roman;Times;Serif"/>
                  <w:b w:val="false"/>
                  <w:i w:val="false"/>
                  <w:caps/>
                  <w:sz w:val="20"/>
                </w:rPr>
                <w:t>DESCRIPTION OF DEBT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8">
              <w:r>
                <w:rPr>
                  <w:rStyle w:val="InternetLink"/>
                  <w:rFonts w:ascii="Times New Roman;Times;Serif" w:hAnsi="Times New Roman;Times;Serif"/>
                  <w:b w:val="false"/>
                  <w:i w:val="false"/>
                  <w:caps/>
                  <w:sz w:val="20"/>
                </w:rPr>
                <w:t>description of warrants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09">
              <w:r>
                <w:rPr>
                  <w:rStyle w:val="InternetLink"/>
                  <w:rFonts w:ascii="Times New Roman;Times;Serif" w:hAnsi="Times New Roman;Times;Serif"/>
                  <w:b w:val="false"/>
                  <w:i w:val="false"/>
                  <w:caps/>
                  <w:sz w:val="20"/>
                </w:rPr>
                <w:t>DESCRIPTION OF RIGHTS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0">
              <w:r>
                <w:rPr>
                  <w:rStyle w:val="InternetLink"/>
                  <w:rFonts w:ascii="Times New Roman;Times;Serif" w:hAnsi="Times New Roman;Times;Serif"/>
                  <w:b w:val="false"/>
                  <w:i w:val="false"/>
                  <w:caps/>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1">
              <w:r>
                <w:rPr>
                  <w:rStyle w:val="InternetLink"/>
                  <w:rFonts w:ascii="Times New Roman;Times;Serif" w:hAnsi="Times New Roman;Times;Serif"/>
                  <w:b w:val="false"/>
                  <w:i w:val="false"/>
                  <w:caps/>
                  <w:sz w:val="20"/>
                </w:rPr>
                <w:t>PLAN OF DISTRIBUTION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2">
              <w:r>
                <w:rPr>
                  <w:rStyle w:val="InternetLink"/>
                  <w:rFonts w:ascii="Times New Roman;Times;Serif" w:hAnsi="Times New Roman;Times;Serif"/>
                  <w:b w:val="false"/>
                  <w:i w:val="false"/>
                  <w:caps/>
                  <w:sz w:val="20"/>
                </w:rPr>
                <w:t>LEGAL MATTERS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3">
              <w:r>
                <w:rPr>
                  <w:rStyle w:val="InternetLink"/>
                  <w:rFonts w:ascii="Times New Roman;Times;Serif" w:hAnsi="Times New Roman;Times;Serif"/>
                  <w:b w:val="false"/>
                  <w:i w:val="false"/>
                  <w:caps/>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4">
              <w:r>
                <w:rPr>
                  <w:rStyle w:val="InternetLink"/>
                  <w:rFonts w:ascii="Times New Roman;Times;Serif" w:hAnsi="Times New Roman;Times;Serif"/>
                  <w:b w:val="false"/>
                  <w:i w:val="false"/>
                  <w:caps/>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ap_015">
              <w:r>
                <w:rPr>
                  <w:rStyle w:val="InternetLink"/>
                  <w:rFonts w:ascii="Times New Roman;Times;Serif" w:hAnsi="Times New Roman;Times;Serif"/>
                  <w:b w:val="false"/>
                  <w:i w:val="false"/>
                  <w:caps/>
                  <w:sz w:val="20"/>
                </w:rPr>
                <w:t>INCORPORATION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p_001"/>
      <w:bookmarkEnd w:id="14"/>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references to “SINTX,” the “Company,” “we,” “us,” and “our” refer to SINTX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utilizing a “shelf” registration process. Under this shelf registration process, we may sell any combination of the securities described in this prospectus in one or more offerings up to a total dollar amount of $75.0 million. This prospectus provides you with a general description of the securities we may offer. Each time we sell securities under this shelf registration,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or incorporated by reference in this prospectus, any applicable prospectus supplement and any related free writing prospectus that we may authorize to be provided to you. We have not authorized any dealer, salesman or other person to give any information or to make any representation other than those contained or incorporated by reference in this prospectus, any applicable prospectus supplement or any related free writing prospectus that we may authorize to be provided to you. You must not rely upon any information or representation not contained or incorporated by reference in this prospectus or the accompanying prospectus supplement. This prospectus and the accompanying supplement to this prospectus do not constitute an offer to sell or the solicitation of an offer to buy any securities other than the registered securities to which they relate, nor do this prospectus and the accompanying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sold on a later date.</w:t>
      </w:r>
    </w:p>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p_002"/>
      <w:bookmarkEnd w:id="15"/>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Section 27A of the Securities Act of 1933, as amended, and Section 21E of the Securities Exchange Act of 1934, as amended, which involve risks and uncertainties. Forward-looking statements provide current expectations of future events based on certain assumptions and include any statement that does not directly relate to any historical or current fact. Forward-looking statements are based on our management’s current beliefs, expectations and assumptions about future events, conditions and results and on information currently available to us. Discussions containing these forward-looking statements may be found, among other places, in the Sections of this prospectus entitled “Prospectus Summary” and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included or incorporated herein regarding our strategy, future operations, financial position, future revenues, projected costs, plans, prospects and objectives are forward-looking statements. In some cases, you can identify forward-looking statements by terms such as “anticipate,” “believe,” “could,” “estimate,” “expect,” “intend,” “may,” “plan,” “potential,” “predict,” “project,” “should,” “will,” “would” and similar expressions. These statements involve risks, uncertainties and other factors that may cause our actual results, performance, time frames or achievements to be materially different from any future results, performance, time frames or achievements expressed or implied by the forward-looking statements. Risks, uncertainties and other factors that might cause or contribute to such differences include, but are not limited to, those discussed in the Section entitled “Risk Factors” in our most recent Annual Report on Form 10-K and Quarterly Reports on Form 10-Q. Given these risks, uncertainties and other factors, many of which are beyond our control, you should not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past financial and/or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p_003"/>
      <w:bookmarkEnd w:id="16"/>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beginning on page 5 of this prospectus and in our most recent Annual Report on Form 10-K and any subsequent Quarterly Reports on Form 10-Q or Current Reports on Form 8-K, as well as any amendments thereto reflected in subsequent filings with the SEC, each of which are incorporated by reference in this prospectus, along with our consolidated financial statements and notes to those consolidated financial statements and the other information incorporated by reference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 27-year-old advanced ceramics company formed in December 1996, focused on providing solutions in a variety of biomedical, technical, and antipathogenic applications. We have grown from focusing primarily on the research, development and commercialization of medical devices manufactured with silicon nitride to becoming an advanced ceramics company engaged in diverse fields, including biomedical, technical and antipathogenic applications. This diversification enables us to focus on our core competencies which are the manufacturing, research, and development of products comprised from advanced ceramic materials for external partners. We seek to connect with new customers, partners and manufacturers to help them realize the goal of leveraging our expertise in advanced ceramics to create new, innovative products across these sectors.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xml:space="preserve"> Since its inception, SINTX has been focused on medical grade silicon nitride. SINTX biomedical products have been shown to be biocompatible, bioactive, antipathogenic, and to have superb bone affinity. Spinal implants made from SINTX silicon nitride have been successfully implanted in humans since 2008 in the US, Europe, Brazil, and Taiwan. This established use, along with its inherent resistance to bacterial adhesion and bone affinity suggests that it may also be suitable in other fusion device applications such as arthroplasty implants, foot wedges, and dental implants. Bacterial infection of any biomaterial implants is always a concern. SINTX silicon nitride has been shown to be resistant to bacterial colonization and biofilm formation, making it antibacterial. SINTX silicon nitride products can be polished to a smooth and wear-resistant surface for articulating applications, such as bearings for hip and knee replacements.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we acquired Technology Assessment and Transfer, Inc. (TA&amp;T), a nearly 40-year-old business with a mission to transition advanced materials and process technologies from a laboratory environment to commercial products and services. TA&amp;T has supplied ceramics for use in several biomedical applications. These products were made via 3D printing and include components for surgical instruments as well as conceptual and prototype dental implants.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Technical Applications:</w:t>
      </w:r>
      <w:r>
        <w:rPr>
          <w:rFonts w:ascii="Times New Roman;Times;Serif" w:hAnsi="Times New Roman;Times;Serif"/>
          <w:b w:val="false"/>
          <w:i w:val="false"/>
          <w:caps w:val="false"/>
          <w:smallCaps w:val="false"/>
          <w:sz w:val="20"/>
        </w:rPr>
        <w:t xml:space="preserve"> It is our belief that our silicon nitride has the best combination of mechanical, thermal, and electrical properties of any technical ceramic material. It is a high-performance technical ceramic with high strength, toughness, and hardness, and is extremely resistant to thermal shock and impact. It is also an electrically insulating ceramic material. Typically, it is used in applications where high load-bearing capacity, thermal stability, and wear resistance are required. We have obtained AS9100D certification and ITAR registration to facilitate entry into the aerospace and protective armor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entered the ceramic armor market through the purchase of assets from B4C, LLC and a technology partnership with Precision Ceramics USA. We will develop and manufacture high-performance ceramics for personnel, aircraft, and vehicle armor including a 100% Boron Carbide material for ultimate lightweight performance in ballistic applications, and a composite material made of Boron Carbide and Silicon Carbide for exceptional multi-hit performance against ballistic threats. We have signed a 10-year lease at a building near our headquarters in Salt Lake City, Utah to house development and manufacturing activities for SINTX Armor.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TA&amp;T’s primary area of expertise is material processing and fabrication know-how for a broad spectrum of monolithic ceramic, ceramic composite, and coating materials. Primary technologies include Additive Manufacturing (3D Printing) of ceramics and metals, low-cost fabrication of fiber reinforced ceramic matrix composites (CMCs) and refractory chemical vapor deposited (CVD) coatings, transparent ceramics for ballistic armor and optical applications, and magnetron sputtered (PVD) coatings for lubrication, wear resistance and environmental barrier coatings for CMCs. TA&amp;T also provides a host of services that include 3D printing, PVD-CVD coatings, material processing-CMCs, CIP, PS, HP, HIP, and material characterization for powders and finished parts-TGA/DSC, PSD. SA, Dilatometry, UV-VIS and FTIR transmission, haze and clarity.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xml:space="preserve"> Today, there is a global need to improve protection against pathogens in everyday life. SINTX believes that by incorporating its unique composition of silicon nitride antipathogenic powder into products such as face masks, filters, and wound care devices, it is possible to manufacture surfaces that inactivate pathogens, thereby limiting the spread of infection and disease. The discovery in 2020 that SINTX silicon nitride inactivates SARS-CoV-2, the virus which causes the disease COVID-19, has opened new markets and applications for our material and we have focused many of our resources on these opportunities.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manufacture advanced ceramic powders and components in our manufacturing facilities based in Salt Lake City, Utah.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Developments</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2023, a furnace used for our SINTX Armor manufacturing operations overheated and is no longer functional. We are continuing to evaluate the extent of the damage to the furnace. In addition, we are coordinating with our insurance carrier and have filed a claim to cover the cost of either repairing or replacing the furnace, which is estimated to be approximately $1 million. Further, we are working with third parties to temporarily outsource the process performed by the non-functional furnace, and do not expect a significant decrease in long-term production capacity. No assurance can be given that our insurance carrier will cover the cost of repairing or replacing the furnace or that we will be successful in temporarily outsourcing the process. Failure to obtain insurance proceeds to cover the claim or to outsource the process could have an adverse effect on the operations of our SINTX Armor business and our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at 1885 West 2100 South, Salt Lake City, Utah 84119, and our telephone number is (801) 839-3500. We maintain a website at https://www.sintx.com. Information on the website is not incorporated by reference and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shd w:fill="FFFFFF" w:val="clear"/>
        <w:bidi w:val="0"/>
        <w:spacing w:before="0" w:after="0"/>
        <w:ind w:left="200" w:right="0" w:hanging="20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related to our business and operations, please refer to the reports incorporated herein by reference, as described under the caption “Incorporation by Reference” on page 35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shares of common stock and shares of preferred stock, various series of debt securities, warrants to purchase any of such securities, and rights to purchase shares of common stock, shares of preferred stock or warrants, either individually or in units, with a total value of up to $75.0 million from time to time under this prospectus, together with any applicable prospectus supplement and related free writing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30"/>
        <w:gridCol w:w="47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or classification;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or aggregate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if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discount,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rates and times of payment of interest or dividends, if 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conversion, exchange or sinking fund terms,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or exchange prices or rates, if any, and, if applicable, any provisions for changes to or adjustments in the conversion or exchange prices or rates and in the securities or other property receivable upon conversion or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or other rights, if 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United States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30"/>
        <w:gridCol w:w="51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those underwriters or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fees, discounts and commissions to be paid to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over-allotment options, if 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under our Restated Certificate of Incorporation, without further action by our shareholders, to issue up to 250,000,000 shares of common stock (including shares of common stock outstanding as of the date hereof). We may offer shares of common stock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of the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and any shares of our common stock to be sold pursuant to this prospectus will be fully paid and nonassessable. The holders of common stock have no preferences or rights of conversion, exchange, pre- 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under our Restated Certificate of Incorporation, without further action by our shareholders, to issue up to 130,000,000 shares of preferred stock in one or more series, to establish from time to time the number of shares to be included in each such series, to fix the rights, preferences, privileges and restrictions of the shares of each wholly unissued series, including dividend rights, conversion rights, voting rights, terms of redemption, liquidation preference and sinking fund terms, and to increase or decrease the number of shares of any such series (but not below the number of shares of such series then outstanding). Our preferred stock is described in greater detail in this prospectus under “Description of Capital Stock —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fix the rights, preferences, privileges, qualifications and restrictions of the shares of each series of preferred stock that we sell under this prospectus and applicable prospectus supplements in an amendment to our Restated Certificate of Incorporation relating to that series. We will incorporate by reference into the registration statement of which this prospectus is a part the form of any amendment to our Restated Certificate of Incorporation that describes the terms of the series of preferred stock we are offering before the issuance of the related series of preferred stock. We urge you to read the prospectus supplements and any free writing prospectus that we may authorize to be provided to you related to the series of preferred stock being offered, as well as the complete amendment to our Restated Certificate of Incorporation that contains the terms of the applicable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in the section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warrants for the purchase of our common stock, preferred stock and/or debt securities in one or more series, from time to time. We may issue warrants independently or together with shares of common stock, shares of preferred stock and/or debt securities, and the warrants may be attached to or separate from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have summarized certain general features of the warrants under “Description of Warrants.” We urge you, however, to read the prospectus supplements and any free writing prospectus that we may authorize to be provided to you related to the particular warrants being offered, as well as the complete warrant document or agreement that contain the terms of the warrants. Specific warrant documents or agreements will contain additional important terms and provisions and will be filed as exhibits to the registration statement of which this prospectus is a part, or incorporated by reference from a current report on Form 8-K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rights to the holders of our common stock or other securities to purchase a specified number of our shares of common stock or other securities that the holder owns as of record date set by our Board of Directors. In a prospectus supplement, we will inform you of the exercise price and other specific terms of the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units consisting of shares of common stock, shares of preferred stock, debt securities warrants and/or rights to purchase any of such securities in one or more series. In this prospectus, we have summarized certain general features of the units under “Description of Units.” We urge you, however, to read the prospectus supplements and any free writing prospectus that we may authorize to be provided to you related to the particular units being offered, as well as the unit agreements that contain the terms of the units. We will file as exhibits to the registration statement of which this prospectus is a part, or will incorporate by reference from a current report on Form 8-K that we file with the SEC, the form of unit agreement and any supplemental agreements that describe the terms of the units we are offering before the issuance of the related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“SINT”. The applicable prospectus supplement will contain information, where applicable, as to other listings, if any, on The NASDAQ Capital Market or other securities exchange of the securities covered by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ap_004"/>
      <w:bookmarkEnd w:id="1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2022, which is incorporated herein by reference, and may be amended, supplemented or superseded from time to time by other reports we file with the Securities and Exchange Commission in the future. The risks and uncertainties we have described are not the only ones we face. Additional risks and uncertainties not presently known to us or that we currently deem immaterial may also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Business and Strategy</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experienced, and may in the future experience, equipment failures and other manufacturing malfunctions, which have and may in the future limit the supply of our products or result in adverse effects to our operations</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process of manufacturing our products is complex, highly regulated, and subject to several risks. For example, the process of manufacturing our products is extremely susceptible to product loss due to equipment failure or malfunction, improper installation or operation of equipment, or vendor or operator error. Even minor deviations from normal manufacturing processes for any of our products could result in reduced production yields, product defects, and other supply disruptions. In addition, the manufacturing facilities in which our products are made could be adversely affected by equipment failures, labor shortages, natural disasters, power failures and numerous other factors.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in October 2023, a furnace used in our SINTX Armor manufacturing process overheated and is currently non-functional. We have filed a claim with our insurance carrier for the repair or replacement of the furnace, and are currently working with third parties to coordinate the outsourcing of that portion of the manufacturing process. However, no assurance can be given that our insurance carrier will cover the cost of repairing or replacing the furnace or that we will be successful in outsourcing the process. Failure to obtain insurance proceeds to cover the repair of the furnace or to outsource the process could have an adverse effect on the operations of our SINTX Armor business. Even if the furnace is repaired or replaced, we cannot guarantee that product or operational loss due to other such equipment failure will not happen in the future.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adverse developments affecting manufacturing operations for our products may result in shipment delays, inventory shortages, product failures, withdrawals or recalls, or other interruptions in the supply of our products. We also may need to take inventory write-offs and incur other charges and expenses for product candidates that fail to meet specifications, undertake costly remediation efforts, or seek costlier manufacturing alternatives.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required to incur financial statement charges, such as asset or goodwill impairment charges, which may, in turn, have a further adverse effect on our results of operations and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business, results of operations or financial condition are adversely affected by one or more circumstances, such as the failure to repair or replace our furnace as described above, or from other risk factors described in this prospectus and elsewhere in our public filings, we then may be required under applicable accounting rules to incur impairment charges associated with reducing the carrying value on our financial statements of certain assets, such as goodwill, intangible assets or tangible assets. We cannot assure you that a material impairment charge of our assets, including the furnace or other manufacturing equipment, will not occur in a future period. Any impairment charge could have a material adverse effect on our financial position and results of operations in the period of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p_005"/>
      <w:bookmarkEnd w:id="1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applicable prospectus, prospectus supplement and in any free writing prospectuses in connection with a specific offering, we currently intend to use the net proceeds from this offering primarily for general corporate purposes, including capital expenditures, working capital, financing of possible acquisitions and other business opportunities.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p_006"/>
      <w:bookmarkEnd w:id="19"/>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Restated Certificate of Incorporation authorizes us to issue 250,000,000 shares of common stock, par value $0.01 per share, and 130,000,000 shares of preferred stock, par value $0.01 per share. The following is a summary of the rights of our common and preferred stock and some of the provisions of our Restated Certificate of Incorporation and Amended and Restated Bylaws, our outstanding warrants, our registration rights agreements and the Delaware General Corporation Law. Because it is only a summary, it does not contain all the information that may be important to you and is subject to and qualified in its entirety by our Restated Certificate of Incorporation and our Amended and Restated Bylaws, a copy of each of which has been incorporated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contain certain provisions that are intended to enhance the likelihood of continuity and stability in the composition of the Board of Directors, which may have the effect of delaying, deferring or preventing a future takeover or change in control of the Company unless such takeover or change in control is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8, 2023, there were 4,259,758 shares of common stock outstanding. Each outstanding share of common stock entitles the holder thereof to one vote per share on all matters. Our Amended and Restated Bylaws provide that any vacancy occurring in the Board of Directors may be filled by the affirmative vote of a majority of the remaining directors. Stockholders do not have preemptive rights to purchase shares in any future issuance of our common stock. In the event of our liquidation, dissolution or winding up, holders of our common stock are entitled to receive, ratably, the net assets available to stockholders after payment of all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and any shares of our common stock to be sold pursuant to this prospectus will be fully paid and nonassessable. The holders of common stock have no preferences or rights of conversion, exchange, pre-emption,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American Stock Transfer and Trust Company. The transfer agent and the registrar’s address is 59 Maiden Lane, New York, New York 10038. Their telephone number is 1-800-937-5449. Our common stock is listed on The NASDAQ Capital Market under the symbol “SINT”.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under our Restated Certificate of Incorporation, without further action by our stockholders, to issue up to 130,000,000 shares of preferred stock in one or more series, to establish from time to time the number of shares to be included in each such series, to fix the rights, preferences, privileges and restrictions of the shares of each wholly unissued series, including dividend rights, conversion rights, voting rights, terms of redemption, liquidation preference and sinking fund terms, and to increase or decrease the number of shares of any such series (but not below the number of shares of such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have the effect of restricting dividends on our common stock, diluting the voting power of our common stock, impairing the liquidation rights of our common stock or otherwise adversely affecting the rights of holders of our common stock. The issuance of preferred stock, while providing flexibility in connection with possible acquisitions and other corporate purposes, could, among other things, have the effect of delaying, deferring or preventing a change of control and may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Series B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15,000 shares of our preferred stock as Series B Preferred Stock. There are currently 26 shares of Series B Preferred stock outstanding which are convertible into 48,706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is convertible into shares of our common stock at any time at the holder’s option at the Conversion Price described below. We may not effect any conversion of Series B Preferred Stock, with certain exceptions, to the extent that, after giving effect to an attempted conversion, the holder of Series B Preferred Stock (together with such holder’s affiliates, and any persons acting as a group together with such holder or any of such holder’s affiliates) would beneficially own a number of shares of common stock in excess of 4.99% (or, at the election of the holder, 9.99%) of the shares of our common stock then outstanding after giving effect to such conversion, referred to as the Preferred Stock Beneficial Ownership Limitation; provided, however, that upon notice to the Company, the holder may increase or decrease the Preferred Stock Beneficial Ownership Limitation, provided that in no event may the Preferred Stock Beneficial Ownership Limitation exceed 9.99% and any increase in the Preferred Stock Beneficial Ownership Limitation will not be effective until 61 days following notice of such increase from the holder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as described below and certain equity conditions being met, if during any 30 consecutive trading days, the volume weighted average price of our common stock exceeds $13,060.80 and the daily dollar trading volume during such period exceeds $500,000 per trading day, we have the right to force the conversion of the Series B Preferred Stock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is convertible into shares of common stock by dividing the stated value of the Series B Preferred Stock ($1,100) by $0.5872 (the “Conversion Price”). The Conversion Price is subject to adjustment for stock splits, stock dividends, and distributions of common stock or securities convertible, exercisable or exchangeable for common stock, subdivisions, combinations and 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exclusions contained in the Certificate of Designation, if the Company in any manner grants or sells any rights, warrants or options and the lowest price per share for which one share of common stock is at any time issuable upon the exercise of any such option or upon conversion, exercise or exchange of any Common Stock Equivalents (as defined in the Certificate of Designation) issuable upon exercise of any such option, exercise or exchange of any Common Stock Equivalent issuable upon the exercise of such option or otherwise pursuant to the terms thereof is less than the Conversion Price, then such share of common stock will be deemed to be outstanding and to have been issued and sold by the Company at the time of the granting or sale of such option for such price per share. For purposes of this paragraph only, the “lowest price per share for which one share of common stock is issuable upon the exercise of any such options or upon conversion, exercise or exchange of any Common Stock Equivalent issuable upon exercise of any such option or otherwise pursuant to the terms thereof” will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Except as contemplated by the terms of the Certificate of Designation, no further adjustment of the Conversion Price will be made upon the actual issuance of such shares of common stock or of such convertible securities upon the exercise of such options or otherwise pursuant to the terms of or upon the actual issuance of such Common Stock Equivalents.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exclusions contained in the Certificate of Designation, if the Company in any manner issues or sells any Common Stock Equivalents and the lowest price per share for which one share of common stock is at any time issuable upon the conversion, exercise or exchange thereof or otherwise pursuant to the terms thereof is less than the Conversion Price, then such share of common stock will be deemed to be outstanding and to have been issued and sold by the Company at the time of the issuance or sale of such convertible securities for such price per share. For purposes of this paragraph only, the “lowest price per share for which one share of common stock is issuable upon the conversion, exercise or exchange thereof or otherwise pursuant to the terms thereof” will be equal to (1) the lower of  (x) the sum of the lowest amounts of consideration (if any) received or receivable by the Company with respect to one share of common stock upon the issuance or sale of the Common Stock Equivalent and upon conversion, exercise or exchange of such convertible security or otherwise pursuant to the terms thereof and (y) the lowest conversion price set forth in such convertible security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by the terms of the Certificate of Designation, no further adjustment of the Conversion Price will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Conversion Price has been or is to be made, except as contemplated by the terms of the Certificate of Designation, no further adjustment of the Conversion Price will be made by reason of such issuance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stock dividends, splits or combination of outstanding common stock) the Conversion Price in effect at the time of such increase or decrease will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If the terms of any option or convertible security that was outstanding as of the date of issuance of the Preferred Stock and related Warrants are increased or decreased in the manner described in the immediately preceding sentence, then such option or convertible security and the shares of common stock deemed issuable upon exercise, conversion or exchange thereof will be deemed to have been issued as of the date of such increase or decrease. No adjustment will be made if such adjustment would result in an increase of the Conversion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option and/or convertible security and/or Adjustment Right is issued in connection with the issuance or sale or deemed issuance or sale of any other securities of the Company (as determined by the holder of Preferred Stock, the “Primary Security”, and such option and/or convertible security and/or Adjustment Right (as defined below), the “Secondary Securities” and together with the Primary Security, each a “unit”), together comprising one integrated transaction, the aggregate consideration per share of common stock with respect to such Primary Security will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the paragraphs above and (z) the lowest volume-weighted average price of the common stock on any trading day during the four trading day period immediately following the public announcement of such dilutive issuance.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volume-weighted average prices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trading days after the tenth day following such Valuation Event by an independent, reputable appraiser jointly selected by the Company and the holder.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Adjustment Right” means any right granted with respect to any securities issued in connection with, or with respect to, any issuance or sale (or deemed issuance or sale in accordance with the paragraph above) of shares of common stock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of Preferred Stock may be eligible to elect an alternative price in the event we issue certain variable price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Dividends;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Series B Preferred Stock are entitled to participate on an as-converted-to-common stock basis with holders of the common stock in any distribution of assets of the Company to the holders of the common stock. Additionally, we will not pay any dividends on shares of common stock (other than dividends in the form of common stock) unless and until such time as we pay dividends on each Series B Preferred Share on an as-converted basis. Other than as set forth in the previous sentence, no other dividends will be paid on Series B Preferred Stock and we will pay no dividends (other than dividends in the form of common stock) on shares of common stock unless we simultaneously comply with the previous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an option to redeem some or all of the Series B Preferred Stock at any time after the six-month anniversary of its issuance date at a 25% premium to the stated value of the Series B Preferred Stock subject to redemption, upon 30 days prior written notice to the holder of the Series B Preferred Stock. The Series B Preferred Stock would be redeemed by the Company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fundamental transaction, generally including any merger with or into another entity, sale of all or substantially all of our assets, tender offer or exchange offer, or reclassification of our common stock, then upon any subsequent conversion of the Series B Preferred Stock, the holder will have the right to receive as alternative consideration, for each share of our common stock that would have been issuable upon such conversion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our common stock for which the Series B Preferred Stock is convertible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holders of shares of Series B Preferred Stock have no voting rights. However, as long as any shares of Series B Preferred Stock remain outstanding, we may not, without the affirmative vote of holders of a majority of the then-outstanding Series B Preferred Stock, (a) alter or change adversely the powers, preferences or rights given to the Series B Preferred Stock or alter or amend the Certificate of Designation, (b) increase the number of authorized shares of Series B Preferred Stock, (c) amend our Certificate of Incorporation or other charter documents in any manner that adversely affects any rights of holders of Series B Preferred Stock disproportionately to the rights of holders of our other capital stock, or (d) enter into any agreement with respect to any of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Jurisdiction and Waiver of Trial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suits, actions or proceedings arising under the federal securities laws, the Certificate of Designation provides for investors to consent to exclusive jurisdiction to courts located in New York, New York and provides for a waiver of the right to a trial by jury. It also provides that disputes are governed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Series C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9,440 shares of our preferred stock as Series C Preferred Stock. As of September 30, 2023, there were 50 shares of Series C Preferred stock outstanding which are convertible into 338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share of Preferred Stock will be convertible at our option at any time on or after the first anniversary of the expiration of the Rights Offering or at the option of the holder at any time, into the number of shares of our common stock determined by dividing the $1,000 stated value per share of the Preferred Stock by a conversion price of $148.14 per share. In addition, the conversion price per share is subject to adjustment for stock dividends, distributions, subdivisions, combinations or reclassifications. Subject to limited exceptions, a holder of the Preferred Stock will not have the right to convert any portion of the Preferred Stock to the extent that, after giving effect to the conversion, the holder, together with its affiliates, would beneficially own in excess of 4.99% of the number of shares of our common stock outstanding immediately after giving effect to its conversion. A holder of the Preferred Stock, upon notice to the Company, may increase or decrease the beneficial ownership limitation provisions of such holder’s Preferred Stock, provided that in no event shall the limitation exceed 9.99% of the number of shares of our common stock outstanding immediately after giving effect to its conversion. In the event that a conversion is effected at our option, we will exercise such option to convert shares of Preferred Stock on a pro rata basis among all of the holders based on such holders’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Transactions. </w:t>
      </w:r>
      <w:r>
        <w:rPr>
          <w:rFonts w:ascii="Times New Roman;Times;Serif" w:hAnsi="Times New Roman;Times;Serif"/>
          <w:b w:val="false"/>
          <w:i w:val="false"/>
          <w:caps w:val="false"/>
          <w:smallCaps w:val="false"/>
          <w:sz w:val="20"/>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Preferred Stock, the holders of the Preferred Stock will have the right to receive any shares of the acquiring corporation or other consideration it would have been entitled to receive if it had been a holder of the number of shares of common stock then issuable upon conversion in full of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Holders of Preferred Stock shall be entitled to receive dividends (on an as-if-converted-to-common-stock basis) in the same form as dividends actually paid on shares of the common stock when, as and if such dividends are paid on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Except as otherwise provided in the certificate of designation or as otherwise required by law, the Preferred Stock has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Preference</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Upon our liquidation, dissolution or winding-up, whether voluntary or involuntary, holders of Series C Preferred Stock will be entitled to receive out of our assets, whether capital or surplus, the same amount that a holder of common stock would receive if the Preferred Stock were fully converted (disregarding for such purpose any conversion limitations under the certificate of designation) to common stock, which amounts shall be paid pari passu with all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We are not obligated to redeem or repurchase any shares of Preferred Stock. Shares of Preferred Stock are not otherwise entitled to any redemption rights, or mandatory sinking fund or analogous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4,656 shares of our preferred stock as Series D Preferred Stock. As of September 30, 2023, there were 180 shares of Series D Preferred stock outstanding which are convertible into 11,919 shares of our Common Stock.</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share of Series D Preferred Stock is convertible at the option of the holder at any time, into the number of shares of our common stock determined by dividing the $1,000 stated value per share of the Preferred Stock by a conversion price of $15.102 per share. In addition, the conversion price per share is subject to adjustment for stock dividends, distributions, subdivisions, combinations or reclassifications. Subject to limited exceptions, a holder of the Preferred Stock will not have the right to convert any portion of the Series D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D Preferred Stock, upon notice to us, may increase or decrease the beneficial ownership limitation provisions of such holder’s Series D Preferred Stock, provided that in no event shall the limitation exceed 9.99% of the number of shares of our common stock outstanding immediately after giving effect to its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Transactions. </w:t>
      </w:r>
      <w:r>
        <w:rPr>
          <w:rFonts w:ascii="Times New Roman;Times;Serif" w:hAnsi="Times New Roman;Times;Serif"/>
          <w:b w:val="false"/>
          <w:i w:val="false"/>
          <w:caps w:val="false"/>
          <w:smallCaps w:val="false"/>
          <w:sz w:val="20"/>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D Preferred Stock, the holders of the Series D Preferred Stock will have the right to receive any shares of the acquiring corporation or other consideration it would have been entitled to receive if it had been a holder of the number of shares of common stock then issuable upon conversion in full of the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Holders of Preferred Stock shall be entitled to receive dividends (on an as-if-converted-to-common-stock basis) in the same form as dividends actually paid on shares of the common stock when, as and if such dividends are paid on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Except as otherwise provided in the certificate of designation or as otherwise required by law, the Series D Preferred Stock has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Preference</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Upon our liquidation, dissolution or winding-up, whether voluntary or involuntary, holders of Series D Preferred Stock will be entitled to receive out of our assets, whether capital or surplus, the same amount that a holder of common stock would receive if the Series D Preferred Stock were fully converted (disregarding for such purpose any conversion limitations under the certificate of designation) to common stock, which amounts shall be paid pari passu with all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We are not obligated to redeem or repurchase any shares of Series D Preferred Stock. Shares of Series D Preferred Stock are not otherwise entitled to any redemption rights, or mandatory sinking fund or analogous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Future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fix the rights, preferences, privileges, qualifications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incorporate by reference into the registration statement of which this prospectus is a part the form of any certificate of designation that describes the terms of the series of preferred stock we are offering before the issuance of the related series of preferred stock. This description will include:</w:t>
      </w:r>
    </w:p>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230"/>
        <w:gridCol w:w="84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stated value;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we are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per share, dividend period and payment dates and method of calculation for dividends;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dividends and the maximum length of any such deferral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a sinking fund,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or repurchase, if applicable, and any restrictions on our ability to exercise those redemption and repurchase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stock on any securities exchange or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convertible into our common stock or other securities of ours, including warrants, and, if applicable, the conversion period, the conversion price, or how it will be calculated, and under what circumstances it may be adjusted;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preemption rights,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 sale or other assignment,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United States federal income tax considerations applicable to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stock as to dividend rights and rights if we liquidate, dissolve or wind up our affairs;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issuances of any class or series of preferred stock ranking senior to or on a parity with the series of preferred stock being issued as to dividend rights and rights if we liquidate, dissolve or wind up our affairs;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shares of preferred stock under this prospectus, the shares will be fully paid and nonassessable and will not have, or be subject to, any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Other Outstanding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there were 1,244,754 common stock purchase warrants outstanding, which expire between February 2025 and February 2028. Each of these warrants entitles the holder to purchase one share of common stock at prices ranging between $0.5872 and $150 per share. Certain of these warrants has a net exercise provision under which its holder may, in lieu of payment of the exercise price in cash, surrender the warrant and receive a net amount of shares based on the fair market value of our common stock at the time of exercise of the warrant after deduction of the aggregate exercise price. Additionally, certain of these warrants entitle a holder to also effect an “alternative cashless exercise” wherein the holder may surrender a certain number of warrants in return for a lesser number of shares of our common stock on a cashless basis. Each of these warrants also contains provisions for the adjustment of the exercise price and the aggregate number of shares issuable upon the exercise of the warrant in the event of dividends, share splits, reorganizations and reclassifications and consolidations. Certain of these warrants contain a provision requiring a reduction to the exercise price in the event we issue common stock, or securities convertible into or exercisable for common stock, at a price per share lower than the warrant exercise price.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certain of these warrants have registration rights, as described in greater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2023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7, 2023, we issued a Class C Common Stock Purchase Warrant to purchase up to 2,150,000 shares of Common Stock (the “Class C Warrants”) and a Class D Common Stock Purchase Warrant to purchase up to 1,075,000 shares of Common Stock (the “Class D Warrants”). </w:t>
      </w:r>
      <w:r>
        <w:rPr>
          <w:rFonts w:ascii="Times New Roman;Times;Serif" w:hAnsi="Times New Roman;Times;Serif"/>
          <w:b w:val="false"/>
          <w:i w:val="false"/>
          <w:caps w:val="false"/>
          <w:smallCaps w:val="false"/>
          <w:sz w:val="20"/>
          <w:shd w:fill="FFFFFF" w:val="clear"/>
        </w:rPr>
        <w:t xml:space="preserve">The Class C and Class D Warrants are exercisable at a price of $5.60 per share. The Class C Warrants will expire five years from the date of issuance and the Class D Warrants will expire three years from the date of issuance. In addition, a holder may also effect an “alternative cashless exercise” wherein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Class C Warrants, and Class D Warrants is not complete and is subject to, and qualified in its entirety by the provisions of the form of Class C Warrant, and the form of Class D Warrant, which are filed as exhibits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The Class C Warrants are exercisable at any time after their original issuance and at any time up to the date that is five years after their original issuance. The Class D Warrants are exercisable at any time after their original issuance and at any time up to the date that is three years after their original issuance. Each of the Class C Warrants, Class D Warrants, are exercisable, at the option of each holder, in whole or in part by delivering to us a duly executed exercise notice and, at any time a registration statement registering the issuance of the shares of common stock underlying the Class C Warrants or Class D Warrants, under the Securities Act of 1933, as amended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Class C Warrants, Class D Warrants, under the Securities Act is not effective or available, the holder may, in its sole discretion, elect to exercise the Class C Warrant or Class D Warrant, through a cashless exercise, in which case the holder would receive upon such exercise the net number of shares of common stock determined according to the formula set forth in the warrant. We may be required to pay certain amounts as liquidated damages as specified in the warrants in the event we do not deliver shares of common stock upon exercise of the warrants within the time periods specified in the warrants. In addition, a holder may also effect an “alternative cashless exercise.” In such event,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 No fractional shares of common stock will be issued in connection with the exercise of a Class C Warrant or Class D Warrant. With respect to any alternative cashless exercise, fractional shares will be rounded down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No fractional shares of common stock will be issued in connection with the exercise of a warrant. Other than as described above with respect to alternative cashless exercises, in lieu of fractional shares, we will, at our election, either pay the holder an amount in cash equal to the fractional amount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Class C Warrants, or Class D Warrants if the holder (together with its affiliates) would beneficially own in excess of 4.99% (or, upon election by a holder prior to the issuance of any warrants, 9.99%)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per whole share of common stock purchasable upon exercise of the Class C Warrants and the Class D Warrants is $5.60 per share. The exercise price and number of shares of common stock issuable on exercise are subject to appropriate adjustments in the event of certain stock dividends and distributions, stock splits, stock combinations, reclassifications or similar events affecting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Class C Warrants and Class 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We do not intend to list the Class C Warrants or the Class D Warrants on any securities exchange or other trading market. Without an active trading market, the liquidity of these securities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Warrant Agent</w:t>
      </w:r>
      <w:r>
        <w:rPr>
          <w:rFonts w:ascii="Times New Roman;Times;Serif" w:hAnsi="Times New Roman;Times;Serif"/>
          <w:b w:val="false"/>
          <w:i w:val="false"/>
          <w:caps w:val="false"/>
          <w:smallCaps w:val="false"/>
          <w:sz w:val="20"/>
        </w:rPr>
        <w:t>. The Class C Warrants and Class D Warrants are issued in registered form under a warrant agreement between American Stock Transfer &amp; Trust Company, LLC, as warrant agent, and us. The Class C Warrants and Class D Warrants shall initially be represented only by one or more global warrants deposited with the warrant agent, as custodian on behalf of The Depository Trust Company (DTC) and registered in the name of Cede &amp; Co., a nominee of DTC, or as otherwise directed by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xml:space="preserve">. In the event of a fundamental transaction, and generally including, with certain exceptions,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Class C Warrants and Class D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we or the successor entity, at the request of a holder of Class C Warrants or Class D Warrants, will be obligated to purchase any unexercised portion of such Class C Warrants or Class D Warrants in accordance with the terms of the warrants. </w:t>
      </w:r>
      <w:r>
        <w:rPr>
          <w:rFonts w:ascii="Times New Roman;Times;Serif" w:hAnsi="Times New Roman;Times;Serif"/>
          <w:b w:val="false"/>
          <w:i w:val="false"/>
          <w:caps w:val="false"/>
          <w:smallCaps w:val="false"/>
          <w:sz w:val="20"/>
          <w:shd w:fill="FFFFFF" w:val="clear"/>
        </w:rPr>
        <w:t>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Class C Warrants and Class D Warrants or by virtue of such holder’s ownership of our shares of common stock, the holder of a Class C Warrant or Class D Warrant does not have the rights or privileges of a holder of our common stock, including any voting rights, until the holder exercises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Class C Warrants, Class D Warrants, and warrant agreement are governed by New York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 and Ascendiant February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February 2023 Offering, the Company issued (i) to Maxim, as the Company’s sole placement agent for the 2023 Offering, 73,100 warrants to purchase shares of the Company’s common stock and (ii) to Ascendiant, as a financial advisor to the Company in the February 2023 Offering, 12,900 warrants to purchase shares of the Company’s common stock (collectively, the “Placement Agent Warrants”). The Placement Agent Warrants will expire on February 7, 2028. The Placement Agent Warrants are exercisable at a price of $6.16 per share, subject to adjustment for stock dividends, distributions, subdivisions, combinations, or reclassifications, and for certain dilutive issuances. Subject to limited exceptions, a holder of the Placement Agent Warrants will not have the right to exercise any portion of the Placement Agent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Placement Agent Warrants, provided that in no event shall the limitation exceed 9.99% of the number of shares of our common stock outstanding immediately after giving effect to the exercise of the Placement Agent Warrants. The Placement Agent Warrants may be exercised as to all or a lesser number of shares of the Company’s common stock and contain certain demand registration rights and unlimited “piggyback” registration rights for a period of five years after February 7, 2023, at the Company’s expense. The Company relied on the exemption from registration available under Section 4(a)(2) of the Securities Act in connection with the issuance of the Dealer Manager Warrants to Maxim and Ascendiant.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Placement Agent Warrants is not complete. For the complete terms of the Placement Agent Warrants, you should refer to the form of Placement Agent Warrant filed as an exhibit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2022 Rights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2022, we issued 308,321 common stock warrants designated as our “Class A” warrants and 308,321 common stock warrants designated as our “Class B” warrants (collectively the “October 2022 Warrants”) in a rights offering to our stockholders (the “October 2022 Rights Offering”). Each of these warrants entitles the holder to purchase one share of common stock at an exercise price of $0.5872 per share. The Class A Warrants and Class B Warrants have the same terms, except that the Class A Warrants expire five years from the date of issuance and the Class B Warrants expire three years from the date of issuance. The material terms and provisions of the October 2022 Warrants are summarized below. This summary of the October 2022 Warrants is not complete. For the complete terms of the October 2022 Warrants, you should refer to the form of October 2022 Warrant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warrant agency agreement between us and American Stock Transfer &amp; Trust Company, LLC, as warrant agent, the October 2022 Warrants were issued in book-entry form and are represented only by one or more global warrants deposited with the warrant agent, as custodian on behalf of The Depository Trust Company, or DTC, and registered in the name of Cede &amp; Co., a nominee of DTC, or as otherwise directed by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Warrant is exercisable at any time and will expire five years from the date of issuance. Each Class B Warrant is exercisable at any time and will expire three years from the date of issuance. The Warrants are exercisable, at the option of each holder, in whole or in part by delivering to us a duly executed exercise notice and payment in full for the number of shares of our common stock purchased upon such exercise, except in the case of a cashless exercise as discussed below. The number of shares of common stock issuable upon exercise of the Warrants is subject to adjustment in certain circumstances, including a stock split of, stock dividend on, or a subdivision, combination or recapitalization of the common stock. If we effect a merger, consolidation, sale of substantially all of our assets, or other similar transaction, then, upon any subsequent exercise of a Warrants, the Warrant holder will have the right to receive any shares of the acquiring corporation or other consideration it would have been entitled to receive if it had been a holder of the number of shares of common stock then issuable upon exercise in full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there is no effective registration statement registering, or the prospectus contained therein is not available for issuance of, the shares issuable upon exercise of the warrant, the holder may exercise the warrant on a cashless basis. When exercised on a cashless basis, a portion of the warrant is cancelled in payment of the purchase price payable in respect of the number of shares of our common stock purchasable upon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represents the right to purchase one share of common stock at an exercise price equal to the Conversion Price. In addition, the exercise price per share is subject to adjustment for stock dividends, distributions, subdivisions, combinations, or reclassifications, and for certain dilutive issuances. The exercise price is also subject to adjustment in the event that we sell, issue, or grant any option to purchase, or sell or issue any right to reprice, or otherwise dispose of or issue (or enter into any agreement relating to the offer, sale, grant or any option to purchase or other disposition) any common stock or convertible securities (as defined in the warrants), at an effective price per share less than the exercise price then in effect. In addition, if at any time there occurs a stock dividend, distribution, subdivision, combination, or reclassification and the volume weighted average price of the shares of common stock for the five trading days following such event is less than the exercise price then in effect (after giving effect to the adjustment of the exercise price pursuant to such event under the terms of the Warrants), then on the fifth trading day following such event, the exercise price shall be reduced to the volume weighted average price of the shares of common stock for the five trading days following such event.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limited exceptions, a holder of warrants will not have the right to exercise any portion of the warrant to the extent that, after giving effect to the exercise, the holder, together with its affiliates, and any other person acting as a group together with the holder or any of its affiliates, would beneficially own in excess of 4.99% of the number of shares of our common stock outstanding immediately after giving effect to its exercise. The holder, upon notice to us, may increase or decrease the beneficial ownership limitation provisions of the warrant, provided that in no event shall the limitation exceed 9.99% of the number of shares of our common stock outstanding immediately after giving effect to the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restrictions, a holder may transfer a warrant upon surrender of the warrant to us with a completed and signed assignment in the form attached to the warrant. The transferring holder will be responsible for any tax that liability that may arise as a result of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public trading market for the October 2022 Warrants and they will not be listed for trading on Nasdaq or any other securities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October 2022 Warrants, the holder of an October 2022 Warrant, solely in such holder’s capacity as a holder of such warrant, will not be entitled to vote, to receive dividends, or to any of the other rights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and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each October 2022 Warrant may be modified or amended or the provisions thereof waived with the written consent of us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October 2022 Warrants were issued pursuant to a warrant agent agreement by and between us and America Stock Transfer &amp; Trust Company,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 and Ascendiant October 2022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2022 Rights Offering, the Company issued (i) to Maxim, as the dealer-manager in the October 2022 Rights Offering, 10,483 warrants to purchase shares of the Company’s common stock and (ii) to Ascendiant, as a financial advisor to the Company in the October 2022 Rights Offering, 1,850 warrants to purchase shares of the Company’s common stock (collectively, the “Dealer Manager Warrants”). The Dealer Manager Warrants are non-exercisable for 6 months from October 17, 2022 and will expire on September 23, 2027. The Dealer Manager Warrants will be exercisable at a price of $16.61 per share, subject to adjustment for stock dividends, distributions, subdivisions, combinations, or reclassifications, and for certain dilutive issuances. Subject to limited exceptions, a holder of the Dealer Manager Warrants will not have the right to exercise any portion of the Dealer Manager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Dealer Manager Warrants, provided that in no event shall the limitation exceed 9.99% of the number of shares of our common stock outstanding immediately after giving effect to the exercise of the Dealer Manager Warrants. In addition, the Dealer Manager Warrants shall not be redeemable and may not be sold, transferred, assigned, pledged or hypothecated or be the subject of any hedging, short sale, derivative, put, or call transaction for a period of 180 days following September 23, 2022, except that they may be assigned, in whole or in part, to any officer or partner of Maxim (or to Ascendiant). The Dealer Manager Warrants may be exercised as to all or a lesser number of shares of the Company’s common stock, and contain unlimited “piggyback” registration rights for a period of five years after September 23, 2022, at the Company’s expense. The Company relied on the exemption from registration available under Section 4(a)(2) of the Securities Act in connection with the issuance of the Dealer Manager Warrants to Maxim and Ascendiant.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Dealer Manager Warrants is not complete. For the complete terms of the Dealer Manager Warrants, you should refer to the form of Dealer Manager Warrant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2020 Rights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2020, we issued 63,720 common stock warrants (the “February 2020 Warrants”) in a rights offering to our stockholders. The material terms and provisions of the February 2020 Warrants are summarized below. This summary of the February 2020 Warrants is not complete. For the complete terms of the February 2020 Warrants, you should refer to the form of February 2020 Warrant filed as an exhibit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warrant agency agreement between us and American Stock Transfer &amp; Trust Company, LLC, as warrant agent, the February 2020 Warrants were issued in book-entry form and are represented only by one or more global warrants deposited with the warrant agent, as custodian on behalf of The Depository Trust Company, or DTC, and registered in the name of Cede &amp; Co., a nominee of DTC, or as otherwise directed by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Exercisability. </w:t>
      </w:r>
      <w:r>
        <w:rPr>
          <w:rFonts w:ascii="Times New Roman;Times;Serif" w:hAnsi="Times New Roman;Times;Serif"/>
          <w:b w:val="false"/>
          <w:i w:val="false"/>
          <w:caps w:val="false"/>
          <w:smallCaps w:val="false"/>
          <w:sz w:val="20"/>
        </w:rPr>
        <w:t>Each February 2020 Warrant became exercisable at the time of issuance and will expire five years from their issuance date. The February 2020 Warrants are exercisable, at the option of each holder, in whole or in part by delivering to us a duly executed exercise notice and payment in full for the number of shares of our common stock purchased upon such exercise, except in the case of a cashless exercise as discussed below. The number of shares of common stock issuable upon exercise of the February 2020 Warrants is subject to adjustment in certain circumstances, including a stock split of, stock dividend on, or a subdivision, combination or recapitalization of the common stock. If we effect a merger, consolidation, sale of substantially all of our assets, or other similar transaction, then, upon any subsequent exercise of a February 2020 Warrant, the February 2020 Warrant holder will have the right to receive any shares of the acquiring corporation or other consideration it would have been entitled to receive if it had been a holder of the number of shares of common stock then issuable upon exercise in full of the February 2020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Cashless Exercise. </w:t>
      </w:r>
      <w:r>
        <w:rPr>
          <w:rFonts w:ascii="Times New Roman;Times;Serif" w:hAnsi="Times New Roman;Times;Serif"/>
          <w:b w:val="false"/>
          <w:i w:val="false"/>
          <w:caps w:val="false"/>
          <w:smallCaps w:val="false"/>
          <w:sz w:val="20"/>
        </w:rPr>
        <w:t>After the earlier of (a) the date that is 30 days after the initial exercise date of the February 2020 Warrants or (b) such trading day that the aggregate volume of shares of common stock sold since the expiration of the Offering exceeds three times the number of shares of common stock and common stock equivalents sold in the Offering, the holder shall be permitted to exercise the February 2020 Warrant, on a cashless basis, regardless of the then applicable trading price of the common stock on Nasdaq, for an aggregate number of shares of common stock equal to the product of (i) the aggregate number of shares of common stock that would be issuable upon exercise of the Warrant if such exercise were by means of a cash exercise and (ii) 0.70.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at any time there is no effective registration statement registering, or the prospectus contained therein is not available for issuance of, the shares issuable upon exercise of the warrant, the holder may exercise the warrant on a cashless basis, in which a portion of the warrant is cancelled in payment of the purchase price payable in respect of the number of shares of our common stock purchasable upon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Price. </w:t>
      </w:r>
      <w:r>
        <w:rPr>
          <w:rFonts w:ascii="Times New Roman;Times;Serif" w:hAnsi="Times New Roman;Times;Serif"/>
          <w:b w:val="false"/>
          <w:i w:val="false"/>
          <w:caps w:val="false"/>
          <w:smallCaps w:val="false"/>
          <w:sz w:val="20"/>
        </w:rPr>
        <w:t>Each February 2020 Warrant represents the right to purchase one share of common stock at an exercise price of $150 per share. In addition, the exercise price per share is subject to adjustment for stock dividends, distributions, subdivisions, combinations, or reclassifications, and for certain dilutive issuances. Subject to limited exceptions, a holder of warrants will not have the right to exercise any portion of the warrant to the extent that, after giving effect to the exercise, the holder, together with its affiliates, and any other person acting as a group together with the holder or any of its affiliates, would beneficially own in excess of 4.99% of the number of shares of our common stock outstanding immediately after giving effect to its exercise. The holder, upon notice to the Company, may increase or decrease the beneficial ownership limitation provisions of the warrant, provided that in no event shall the limitation exceed 9.99% of the number of shares of our common stock outstanding immediately after giving effect to the exercise of the warrant.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Transactions. </w:t>
      </w:r>
      <w:r>
        <w:rPr>
          <w:rFonts w:ascii="Times New Roman;Times;Serif" w:hAnsi="Times New Roman;Times;Serif"/>
          <w:b w:val="false"/>
          <w:i w:val="false"/>
          <w:caps w:val="false"/>
          <w:smallCaps w:val="false"/>
          <w:sz w:val="20"/>
        </w:rPr>
        <w:t>In the event we consummate a merger or consolidation with or into another person or other reorganization event in which our shares of common stock are converted or exchanged for securities, cash or other property, or we sell, lease, license, assign, transfer, convey or otherwise dispose of all or substantially all of our assets or we or another person acquires 50% or more of our outstanding shares of common stock, referred to as a fundamental transaction, then following such event, the holders will have the option, which may be exercised within 30 days after the consummation of the fundamental transaction, to require the Company or the successor entity purchase the Warrant from the holder by paying to the holder an amount of cash equal to the Black Scholes value of the remaining unexercised portion of the warrant on the date of the consummation of the fundamental transaction. However, if the fundamental transaction is not within the Company’s control, including not approved by the Company’s Board of Directors, the holder will only be entitled to receive from the Company or any successor entity, as of the date of consummation of such fundamental transaction, the same type or form of consideration (and in the same proportion), at the Black Scholes value of the unexercised portion of the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Subject to applicable laws and restrictions, a holder may transfer a warrant upon surrender of the warrant to us with a completed and signed assignment in the form attached to the warrant. The transferring holder will be responsible for any tax that liability that may arise as a result of the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 Market. </w:t>
      </w:r>
      <w:r>
        <w:rPr>
          <w:rFonts w:ascii="Times New Roman;Times;Serif" w:hAnsi="Times New Roman;Times;Serif"/>
          <w:b w:val="false"/>
          <w:i w:val="false"/>
          <w:caps w:val="false"/>
          <w:smallCaps w:val="false"/>
          <w:sz w:val="20"/>
        </w:rPr>
        <w:t>There is no public trading market for the February 2020 Warrants, and they are not listed for trading on Nasdaq or any other securities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Rights as Stockholder. </w:t>
      </w:r>
      <w:r>
        <w:rPr>
          <w:rFonts w:ascii="Times New Roman;Times;Serif" w:hAnsi="Times New Roman;Times;Serif"/>
          <w:b w:val="false"/>
          <w:i w:val="false"/>
          <w:caps w:val="false"/>
          <w:smallCaps w:val="false"/>
          <w:sz w:val="20"/>
        </w:rPr>
        <w:t>Except as set forth in the February 2020 Warrants, the holder of a warrant, solely in such holder’s capacity as a holder of a February 2020 Warrant, will not be entitled to vote, to receive dividends, or to any of the other rights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We may redeem the warrants for $0.01 per warrant if our common stock closes above $8.00 per share for ten consecutive trading days, provided that we may not do so prior to the first anniversary of expiration of the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Amendments and Waivers. </w:t>
      </w:r>
      <w:r>
        <w:rPr>
          <w:rFonts w:ascii="Times New Roman;Times;Serif" w:hAnsi="Times New Roman;Times;Serif"/>
          <w:b w:val="false"/>
          <w:i w:val="false"/>
          <w:caps w:val="false"/>
          <w:smallCaps w:val="false"/>
          <w:sz w:val="20"/>
        </w:rPr>
        <w:t>The provisions of each February 2020 Warrant may be modified or amended or the provisions thereof waived with the written consent of us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 and Ascendiant February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February 6, 2020, in connection with a rights offering, we issued 2,039 common stock warrants (the “Maxim Warrants”) to Maxim, as the dealer manager in such rights offering, and 510 common stock warrants (the “Ascendiant Warrants”) to Ascendiant, as a financial advisor to us in such rights offering. The Maxim Warrants and Ascendiant Warrants have the same material terms as the February 2020 Warrants, except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 Warrants and Ascendiant Warrants became exercisable 6 months from February 6, 2020 and will expire on January 17, 2025. The Maxim Warrants and Ascendiant Warrants are exercisable at a price of $162.95 per share, subject to adjustment for stock dividends, distributions, subdivisions, combinations, or reclassifications, and for certain dilutive issuances. Subject to limited exceptions, a holder of the Maxim Warrants and Ascendiant Warrants will not have the right to exercise any portion of such warrant to the extent that, after giving effect to the exercise, the holder, together with its affiliates, and any other person acting as a group together with the holder or any of its affiliates, would beneficially own in excess of 4.99% of the number of shares of our common stock outstanding immediately after giving effect to its exercise. The holder, upon notice to us, may increase or decrease the beneficial ownership limitation provisions of the warrant, provided that in no event shall the limitation exceed 9.99% of the number of shares of our common stock outstanding immediately after giving effect to the exercise of the warrant.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 Warrants and Ascendiant Warrants contain the same provisions regarding fundamental transactions as those contained in the February 2020 Warrants, except that the Maxim Warrants and Ascendiant Warrants do not provide the holders thereof with the option to require us, or a successor entity, to pay an amount equal to the Black Scholes value of the warrants in the event of certain 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 Warrants and Ascendiant Warrants are not redeemable. The Maxim Warrants and Ascendiant Warrants contain unlimited “piggyback” registration rights for a period of five years after February 6, 2020 (but not longer than 7 years from January 17, 2020) at our expense, subject to certain exceptions. We relied on the exemption from registration available under Section 4(a)(2) of the Securities Act in connection with the issuance of the warrants to Maxim and Ascendiant.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Maxim Warrants and Ascendiant Warrants is not complete. For the complete terms of the Maxim Warrants and Ascendiant Warrants, you should refer to the form of Maxim Warrants and Ascendiant Warrants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Anti-Takeover Provisions of Our Restated Certificate of Incorporation, Our Amended and Restated Bylaws and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Restated Certificate of Incorporation and (3) our Amended and Restated Bylaws discussed below could discourage or make it more difficult to prevail in a proxy contest or effect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in control of our company. These provisions are designed to reduce our vulnerability to an unsolicited acquisition proposal. These provisions also are intended to discourage certain tactics that may be used in proxy fights. These provisions also may have the effect of preventing changes in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Delaware Statutory Business Combinations Provision. </w:t>
      </w:r>
      <w:r>
        <w:rPr>
          <w:rFonts w:ascii="Times New Roman;Times;Serif" w:hAnsi="Times New Roman;Times;Serif"/>
          <w:b w:val="false"/>
          <w:i w:val="false"/>
          <w:caps w:val="false"/>
          <w:smallCaps w:val="false"/>
          <w:sz w:val="20"/>
        </w:rPr>
        <w:t>We are subject to the anti-takeover provisions of Section 203 of the Delaware General Corporation Law. In general,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Classified Board of Directors; Appointment of Directors to Fill Vacancies; Removal of Directors for Cause. </w:t>
      </w:r>
      <w:r>
        <w:rPr>
          <w:rFonts w:ascii="Times New Roman;Times;Serif" w:hAnsi="Times New Roman;Times;Serif"/>
          <w:b w:val="false"/>
          <w:i w:val="false"/>
          <w:caps w:val="false"/>
          <w:smallCaps w:val="false"/>
          <w:sz w:val="20"/>
        </w:rPr>
        <w:t>Our Restated Certificate of Incorporation provides that our Board of Directors will be divided into three classes as nearly equal in number as possible. Each year the stockholders will elect the members of one of the three classes to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any positions so created and is permitted to specify the class to which any new position is assigned. The person filling any of these positions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holders of at least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Authorization of Blank Check Preferred Stock. </w:t>
      </w:r>
      <w:r>
        <w:rPr>
          <w:rFonts w:ascii="Times New Roman;Times;Serif" w:hAnsi="Times New Roman;Times;Serif"/>
          <w:b w:val="false"/>
          <w:i w:val="false"/>
          <w:caps w:val="false"/>
          <w:smallCaps w:val="false"/>
          <w:sz w:val="20"/>
        </w:rPr>
        <w:t>Our Restated Certificate of Incorporation provides that our Board of Directors is authorized to issue, without stockholder approval, blank check preferred stock. Blank check preferred stock can operate as a defensive measure known as a “poison pill” by diluting the stock ownership of a potential hostile acquirer to prevent an acquisition that is not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90 days nor more than 120 days prior to the anniversary of the mailing date of the proxy statement for the previous year’s annual meeting. For a special meeting, the notice must generally be delivered no less than 60 days nor more than 90 days prior to the special meeting or ten days following the day on which public announcement of the meeting is first made. Detailed requirements as to the form of the notice and information required in the notice are specified in our Amended and Restated Bylaws. If it is determined that business was not properly brought before a meeting in accordance with our bylaw provisions, this business will not be conducted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Special Meetings of Stockholders. </w:t>
      </w: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 Stockholder Action by Written Consent. </w:t>
      </w:r>
      <w:r>
        <w:rPr>
          <w:rFonts w:ascii="Times New Roman;Times;Serif" w:hAnsi="Times New Roman;Times;Serif"/>
          <w:b w:val="false"/>
          <w:i w:val="false"/>
          <w:caps w:val="false"/>
          <w:smallCaps w:val="false"/>
          <w:sz w:val="20"/>
        </w:rPr>
        <w:t>Our Restated Certificate of Incorporation does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Super-Majority Stockholder Vote required for Certain Actions. </w:t>
      </w: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any of the provisions discussed in this section of this prospectus entitled “Effect of Anti-Takeover Provisions of Our Restated Certificate of Incorporation, Our Amended and Restated Bylaws and Delaware Law” or to reduce the number of authorized shares of common stock or preferred stock. This 80% stockholder vote would be in addition to any separate class vote that might in the future be required pursuant to the terms of any preferred stock that might then be outstanding. A 80% vote is also required for any amendment to, or repeal of, our Amended and Restated Bylaws by the stockholders. Our Amended and Restated Bylaws may be amended or repealed by a simple majority vote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Authorized but Unissued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and certain of our warrants is American Stock Transfer and Trust Company, LLC. The transfer agent and the registrar’s address is 59 Maiden Lane, New York, New York 10038.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“SINT”.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p_007"/>
      <w:bookmarkEnd w:id="20"/>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and provisions of the debt securities that we may offer using this prospectus and the related indenture. This section is only a summary and does not purport to be complete. You must look to the relevant form of debt security and the related indenture for a full understanding of all terms of any series of debt securities. The form of debt security and the related indenture have been or will be filed or incorporated by reference as exhibits to the registration statement of which this prospectus is a part. See “Where You Can Find More Information” for information on how to obtain copies.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shares or preferred shares. Conversion may be mandatory or at the holder’s option and would be at prescribed conversion rates. While the terms we have summarized herein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otherwise mentioned or unless the context requires otherwise, whenever we refer to the indenture, we also are referring to any supplemental indentures thereto that specify the terms of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an indenture that we will enter into with the trustee named in the indenture. The indentures will be qualified under the Trust Indenture Act of 1939, as amended, or the Trust Indenture Act. We have filed the forms of indentures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indentures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limit the amount of debt securities that we may issue. They provide that we may issue debt securities up to the principal amount that we may authorize and may be in any currency or currency unit that we may designate. Except for the limitations on consolidation, merger and sale of all or substantially all of our assets contained in the indentures, the terms of the indentures do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indentures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debt securities being offered, including:</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upon the aggregate principal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debt securities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applicability of any guarantees;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or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if any, on which, and the price or prices at which we are obligated, pursuant to any mandatory sinking fund, mandatory redemption or analogous provisions or otherwise, to repurchase, at the holder’s option, the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full principal amount thereof, the portion of the principal amount of debt securities of the series which shall be payable upon declaration of acceleration of the maturity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covenants applicable to the particular debt securities being issued, including, among others, the consolidation, merger or sale covenant;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provisions relating to satisfaction and discharge of the applicable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changes in the provisions relating to the modification of the applicable indenture both with and without the consent of holders of debt securities issued under the applicable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payment of debt securities if other than U.S. dollars and the manner of determining the equivalent amount in U.S. dollars;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interest will be payable in cash or additional debt securities at our or the holders’ option and the terms and conditions upon which the election may be made;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we will pay amounts in addition to the stated interest, premium, if any, and principal amounts of the debt securities of the series to any holder that is not a “United States person” for federal tax purposes;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restrictions on transfer, sale or assignment of the debt securities of the series;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 any other additions or changes in the provisions of the applicable indenture, and any terms that may be required by us or advisable under applicable laws or regulations;</w:t>
            </w:r>
          </w:p>
        </w:tc>
      </w:tr>
    </w:tbl>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subordination terms of the debt securities of the series,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of such series of debt securities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indentures. Any waiver shall cure the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proceeding under the indenture or to appoint a receiver or trustee, or to seek other remedies only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given written notice to the trustee of a continuing event of default with respect to that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aggregate principal amount of the outstanding debt securities of that series have made written request;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holders have offered to the trustee indemnity satisfactory to it against the costs, expenses and liabilities to be incurred by the trustee in compliance with the request;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we and the trustee may change an indenture without the consent of any holders with respect to specific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defect or inconsistency in the indenture or in the debt securities of any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provisions described above under “Description of Debt Securities—Consolidation, Merger or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debt securities in addition to or in place of certificated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debt securities, as set forth in the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interests of any holder of debt securities of any series in any material respect;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appointment under any indenture by a successor trustee;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any requirements of the SEC in connection with the qualification of any indenture under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any debt securities of any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reducing any premium payable upon the redemption of any series of any debt securities;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we can elect to be discharged from our obligations with respect to one or more series of debt securities, except for specified obligations, including obligations to:</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payment;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principal of and premium and interest on any debt securities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 excess money held by the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trustee;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applicable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applicable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of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and any claim, controversy or dispute arising under or related to the indenture or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p_008"/>
      <w:bookmarkEnd w:id="21"/>
      <w:r>
        <w:rPr>
          <w:rFonts w:ascii="Times New Roman;Times;Serif" w:hAnsi="Times New Roman;Times;Serif"/>
          <w:b/>
          <w:i w:val="false"/>
          <w:caps/>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shares of common stock, shares of preferred stock or debt securities and may be issued in one or more series. Warrants may be offered independently or together with shares of common stock, shares of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the form of warrant document or agreement that describes the terms of the particular warrants we are offering before the issuance of the related warrants. The following summaries of material provisions of the warrants are subject to, and qualified in their entirety by reference to, all the provisions of the warrant document or agreement applicable to particular warrants. We urge you to read the applicable prospectus supplement and any applicable free writing prospectus related to the particular warrants that we sell under this prospectus, as well as the complete warrant document or agreement that contain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the warrants, including, if applicable: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and aggregate number of warrants offered;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for which the warrants may be purchased;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debt securities, the principal amount of debt securities purchasable upon exercise of one warrant and the price at, and currency in which, this principal amount of debt securities may be purchased upon such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shares of common stock or shares of preferred stock, the number of shares of common stock or shares of preferred stock, as the case may be,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any merger, consolidation, sale or other disposition of our business on the warrant agreements and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warrant agreements and warrants may be modified;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United States federal income tax consequences of holding or exercising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debt securities, the right to receive payments of principal of, or premium, if any, or interest on, the debt securities purchasable upon exercise or to enforce covenants in the applicable indenture;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shares of common stock or shares of preferred stock,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in the warrant agreement or documents and in the applicable prospectus supplement the information that the holder of the warrant will be required to deliver to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documents properly completed and duly executed at the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p_009"/>
      <w:bookmarkEnd w:id="22"/>
      <w:r>
        <w:rPr>
          <w:rFonts w:ascii="Times New Roman;Times;Serif" w:hAnsi="Times New Roman;Times;Serif"/>
          <w:b/>
          <w:i w:val="false"/>
          <w:caps/>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common stock, preferred stock, or warrants in one or more series. Rights may be issued independently or together with any other offered security and may or may not be transferable by the person purchasing or receiving the subscription rights. In connection with any rights offering to our shareholders, we may enter into a standby underwriting arrangement with one or more underwriters pursuant to which the underwriters will purchase any of the offered securities remaining unsubscribed after the expiration of the rights offering. In connection with a rights offering to our shareholders, we will distribute certificates evidencing the rights and an applicable prospectus supplement to our shareholders on the record date that we set for receiving rights in the rights offering. An applicable prospectus supplement will describe the following terms of rights in respect of which this prospectus is being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for which the rights are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the rights issued to each security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are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United States federal income tax considerations applicable to the issuance or exercise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shall commence, and the date on which the rights shall expire (subject to any extension);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changes to or adjustments in the exercise price or number of securities issuable upon exercise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include an over-subscription privilege with respect to unsubscribed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we may enter into in connection with the rights offering;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rights, including terms, procedures and limitations relating to the exchange and exercise of the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to purchase for cash the amount of securities, at the exercise price. Rights may be exercised at any time up to the close of business on the expiration date of the rights. After the close of business on the expiration date, all unexercised rights will become void. The manner in which rights may be exercised will be described in an applicable prospectus supplement. We may, but we will not be required to, permit the exercise of rights through the delivery of a notice of guaranteed delivery from a bank, a trust company, or a New York Stock Exchange member guaranteeing delivery of (1) payment of the exercise price for the securities for which the rights are being exercised, and (2) a properly completed and executed rights certificate. The notice of guaranteed delivery must be received by the rights agent before the expiration of the rights, and the rights agent will not honor a notice of guaranteed delivery unless a properly completed and executed rights certificate and full payment for the securities being purchased are received by the rights agent by the close of business on the third business day after the expiration time of the rights. Upon receipt of payment and the proper completion and due execution of the rights certificate at the designated office of the rights agent or any other office indicated in an applicable prospectus supplement, we or the transfer agent will forward, as soon as practicable, the securities purchased through the exercise of the rights. We may determine to offer any unsubscribed offered securities directly to persons other than shareholders, to or through agents, underwriters or dealers or through a combination of the methods, including pursuant to standby underwriting arrangements, as set forth in an applicable prospectus supplement.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p_010"/>
      <w:bookmarkEnd w:id="23"/>
      <w:r>
        <w:rPr>
          <w:rFonts w:ascii="Times New Roman;Times;Serif" w:hAnsi="Times New Roman;Times;Serif"/>
          <w:b/>
          <w:i w:val="false"/>
          <w:caps/>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the form of unit agreement that describes the terms of the units we are offering, and any supplemental agreements, before the issuance of the related units. The following summaries of material terms and provisions of the units are subject to, and qualified in their entirety by reference to, all the provisions of the unit agreement and any supplemental agreements applicable to particular units. We urge you to read the applicable prospectus supplements related to the particular units that we sell under this prospectus, as well as the complete unit agreement and any supplemental agreements that contain the terms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debt securities, shares of common stock, shares of preferred stock, warrants and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units,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Capital Stock,” “Description of Debt Securities,” “Description of Warrants” and “Description of Rights” will apply to each unit and to any shares of common, shares of preferred stock, debt security or warrant included in each unit,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ap_011"/>
      <w:bookmarkEnd w:id="24"/>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pursuant to underwritten public offerings, direct sales to the public, negotiated transactions, block trades or a combination of these methods. We may sell the securities to or through underwriters or dealers, through agents, directly to one or more purchasers, or through any combination of these methods. 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securities to other companies or their security holders to acquire those companies or equity interests in those companies, or to acquire assets of those companies, through mergers or consolidations with us or any of our subsidiaries, or through the exchange of our securities for securities of the other companies, or through the exchange of assets of other companies for our securities, or through similar transactions. We may also issue securities to third parties to acquire patents or other intellectual property or licenses or similar rights to use patents or other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or dealers,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and the proceeds we will receive from the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agency fees or underwriting discounts and other items constituting agents’ or underwriters’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may change from time to time. We may use underwriters with whom we have a material relationship. We will describe in the prospectus supplement, naming the underwriter, the nature of any such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any securities offered by this prospectus, we will sell those securities to the dealer, as principal. The dealer may then resell the securities to the public at varying prices to be determined by the dealer at the time of resale. We will set forth the names of the dealers and the terms of the transaction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Direct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directly sell securities offered by this prospectus. In this case, no underwriters or agents would be involved. We will describe the terms of those sales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Auctions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may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the securities, you will want to pay particular attention to the description of that system we will provide in an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system may allow bidders to directly participate, through electronic access to an auction site, by submitting conditional offers to buy that are subject to acceptance by us, and which may directly affect the price or other terms and conditions at which the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the securities offered by this prospectus may be deemed underwriters under the Securities Act, and any discounts or commissions they receive from us and any profit on their resale of the securities may be treated as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dealers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we offer, other than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parties in such sale transactions will be identified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in accordance with Regulation M under the Exchange Act. Overallotment involves sales in excess of the offering size, which create a short position. This short sales position may involve either “covered” short sales or “naked” short sales. Covered short sales are short sales made in an amount not greater than the underwriters’ over-allotment option to purchase additional securities in this offering described above. The underwriters may close out any covered short position either by exercising their over-allotment option or by purchasing securities in the open market. To determine how they will close the covered short position, the underwriters will consider, among other things, the price of securities available for purchase in the open market, as compared to the price at which they may purchase securities through the over-allotment option. Naked short sales are short sales in excess of the over-allotment option. The underwriters must close out any naked short position by purchasing securities in the open market. A naked short position is more likely to be created if the underwriters are concerned that, in the open market after pricing, there may be downward pressure on the price of the securities that could adversely affect investors who purchase securities in this offering. Stabilizing transactions permit bids to purchase the underlying security for the purpose of fixing the price of the security so long as the stabilizing bids do not exceed a specified maximum. Penalty bids permit the underwriters to reclaim a selling concession from a dealer when the securities originally sold by the dealer are purchased in a covering transaction to cover short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on The NASDAQ Capital Market may engage in passive market making transactions in our common stock, preferred stock, warrants, units and debt securities, as applicable,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purchase transactions, an underwriter’s purchase to cover the syndicate short sales or to stabilize the market price of our securities may have the effect of raising or maintaining the market price of our securities or preventing or mitigating a decline in the market price of our securities. As a result, the price of our securities may be higher than the price that might otherwise exist in the open market. The imposition of a penalty bid might also have an effect on the price of the securities if it discourages resales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underwriters make any representation or prediction as to the effect that the transactions described above may have on the price of the securities. If such transactions are commenced, they may be discontinued without notice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perform services for us, in the ordinary course of business for which they receive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“SINT”.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ap_012"/>
      <w:bookmarkEnd w:id="25"/>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 Science Law, PC, Salt Lake City, Utah will pass for us upon the validity of the securities being offered by this prospectus. Additional legal matters may be passed upon for us or any underwriters, dealers or agents, by counsel that we will name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p_013"/>
      <w:bookmarkEnd w:id="26"/>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SINTX Technologies, Inc., appearing in the Company’s Annual Report on Form 10-K for the year ended December 31, 2022, incorporated by reference herein, have been audited by Tanner LLC, an independent registered public accounting firm, given on the authority of said firm as experts in auditing and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p_014"/>
      <w:bookmarkEnd w:id="27"/>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The SEC maintains an internet site that contains reports, proxy and information statements, and other information regarding issuers that file electronically with the SEC, where our SEC filings are also available. The address of the SEC’s web site is “http://www.sec.gov.” We maintain a website at www.sintx.com. Information contained in or accessible through our website does not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p_015"/>
      <w:bookmarkEnd w:id="28"/>
      <w:r>
        <w:rPr>
          <w:rFonts w:ascii="Times New Roman;Times;Serif" w:hAnsi="Times New Roman;Times;Serif"/>
          <w:b/>
          <w:i w:val="false"/>
          <w:caps/>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Commission will automatically update and supersede information contained in this prospectus and any accompanying prospectus supplement. We incorporate by reference the documents listed below that we have previously filed with the Commission: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Annual Report on Form 10-K for the fiscal year ended </w:t>
            </w:r>
            <w:hyperlink r:id="rId16">
              <w:r>
                <w:rPr>
                  <w:rStyle w:val="InternetLink"/>
                  <w:rFonts w:ascii="Times New Roman;Times;Serif" w:hAnsi="Times New Roman;Times;Serif"/>
                  <w:b w:val="false"/>
                  <w:i w:val="false"/>
                  <w:caps w:val="false"/>
                  <w:smallCaps w:val="false"/>
                  <w:sz w:val="20"/>
                </w:rPr>
                <w:t>December 31, 2022</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Reports on Form 10-Q for the fiscal quarters ended </w:t>
            </w:r>
            <w:hyperlink r:id="rId17">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 xml:space="preserve">June 30, 2023, </w:t>
              </w:r>
            </w:hyperlink>
            <w:r>
              <w:rPr>
                <w:rFonts w:ascii="Times New Roman;Times;Serif" w:hAnsi="Times New Roman;Times;Serif"/>
                <w:b w:val="false"/>
                <w:i w:val="false"/>
                <w:caps w:val="false"/>
                <w:smallCaps w:val="false"/>
                <w:sz w:val="20"/>
              </w:rPr>
              <w:t xml:space="preserve">and </w:t>
            </w:r>
            <w:hyperlink r:id="rId19">
              <w:r>
                <w:rPr>
                  <w:rStyle w:val="InternetLink"/>
                  <w:rFonts w:ascii="Times New Roman;Times;Serif" w:hAnsi="Times New Roman;Times;Serif"/>
                  <w:b w:val="false"/>
                  <w:i w:val="false"/>
                  <w:caps w:val="false"/>
                  <w:smallCaps w:val="false"/>
                  <w:sz w:val="20"/>
                </w:rPr>
                <w:t>September 30, 2023</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SEC on </w:t>
            </w:r>
            <w:hyperlink r:id="rId20">
              <w:r>
                <w:rPr>
                  <w:rStyle w:val="InternetLink"/>
                  <w:rFonts w:ascii="Times New Roman;Times;Serif" w:hAnsi="Times New Roman;Times;Serif"/>
                  <w:b w:val="false"/>
                  <w:i w:val="false"/>
                  <w:caps w:val="false"/>
                  <w:smallCaps w:val="false"/>
                  <w:sz w:val="20"/>
                </w:rPr>
                <w:t xml:space="preserve">January 13, 2023, </w:t>
              </w:r>
            </w:hyperlink>
            <w:hyperlink r:id="rId21">
              <w:r>
                <w:rPr>
                  <w:rStyle w:val="InternetLink"/>
                  <w:rFonts w:ascii="Times New Roman;Times;Serif" w:hAnsi="Times New Roman;Times;Serif"/>
                  <w:b w:val="false"/>
                  <w:i w:val="false"/>
                  <w:caps w:val="false"/>
                  <w:smallCaps w:val="false"/>
                  <w:sz w:val="20"/>
                </w:rPr>
                <w:t xml:space="preserve">February 9, 2023, </w:t>
              </w:r>
            </w:hyperlink>
            <w:hyperlink r:id="rId22">
              <w:r>
                <w:rPr>
                  <w:rStyle w:val="InternetLink"/>
                  <w:rFonts w:ascii="Times New Roman;Times;Serif" w:hAnsi="Times New Roman;Times;Serif"/>
                  <w:b w:val="false"/>
                  <w:i w:val="false"/>
                  <w:caps w:val="false"/>
                  <w:smallCaps w:val="false"/>
                  <w:sz w:val="20"/>
                </w:rPr>
                <w:t>October 11, 2023</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October 12, 2023</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October 20, 2023</w:t>
              </w:r>
            </w:hyperlink>
            <w:r>
              <w:rPr>
                <w:rFonts w:ascii="Times New Roman;Times;Serif" w:hAnsi="Times New Roman;Times;Serif"/>
                <w:b w:val="false"/>
                <w:i w:val="false"/>
                <w:caps w:val="false"/>
                <w:smallCaps w:val="false"/>
                <w:sz w:val="20"/>
              </w:rPr>
              <w:t xml:space="preserve">, and </w:t>
            </w:r>
            <w:hyperlink r:id="rId25">
              <w:r>
                <w:rPr>
                  <w:rStyle w:val="InternetLink"/>
                  <w:rFonts w:ascii="Times New Roman;Times;Serif" w:hAnsi="Times New Roman;Times;Serif"/>
                  <w:b w:val="false"/>
                  <w:i w:val="false"/>
                  <w:caps w:val="false"/>
                  <w:smallCaps w:val="false"/>
                  <w:sz w:val="20"/>
                </w:rPr>
                <w:t>November 7, 2023</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which is contained in the Registration Statement on Form 8-A, as filed with the SEC on </w:t>
            </w:r>
            <w:hyperlink r:id="rId26">
              <w:r>
                <w:rPr>
                  <w:rStyle w:val="InternetLink"/>
                  <w:rFonts w:ascii="Times New Roman;Times;Serif" w:hAnsi="Times New Roman;Times;Serif"/>
                  <w:b w:val="false"/>
                  <w:i w:val="false"/>
                  <w:caps w:val="false"/>
                  <w:smallCaps w:val="false"/>
                  <w:sz w:val="20"/>
                </w:rPr>
                <w:t>February 7, 2014</w:t>
              </w:r>
            </w:hyperlink>
            <w:r>
              <w:rPr>
                <w:rFonts w:ascii="Times New Roman;Times;Serif" w:hAnsi="Times New Roman;Times;Serif"/>
                <w:b w:val="false"/>
                <w:i w:val="false"/>
                <w:caps w:val="false"/>
                <w:smallCaps w:val="false"/>
                <w:sz w:val="20"/>
              </w:rPr>
              <w:t xml:space="preserve">, as updated by the description of our Common Stock contained in </w:t>
            </w:r>
            <w:hyperlink r:id="rId27">
              <w:r>
                <w:rPr>
                  <w:rStyle w:val="InternetLink"/>
                  <w:rFonts w:ascii="Times New Roman;Times;Serif" w:hAnsi="Times New Roman;Times;Serif"/>
                  <w:b w:val="false"/>
                  <w:i w:val="false"/>
                  <w:caps w:val="false"/>
                  <w:smallCaps w:val="false"/>
                  <w:sz w:val="20"/>
                </w:rPr>
                <w:t>Exhibit 4.18</w:t>
              </w:r>
            </w:hyperlink>
            <w:r>
              <w:rPr>
                <w:rFonts w:ascii="Times New Roman;Times;Serif" w:hAnsi="Times New Roman;Times;Serif"/>
                <w:b w:val="false"/>
                <w:i w:val="false"/>
                <w:caps w:val="false"/>
                <w:smallCaps w:val="false"/>
                <w:sz w:val="20"/>
              </w:rPr>
              <w:t xml:space="preserve"> to our Annual Report on Form 10-K for the year ended December 31, 2022, including any amendment or report filed for the purpose of updating such description.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Items 2.02 or 7.01 of Form 8-K and exhibits filed on such form that are related to such items unless such Form 8-K expressly provides to the contrary) made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this prospectus, excluding, in each case, information deemed furnished and not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provide to each person, including any beneficial owner, to whom a prospectus is delivered, without charge upon written or oral request, a copy of any or all of the information that has been incorporated by reference into this prospectus but not delivered with the prospectus, including exhibits that are specifically incorporated by reference into such documents. Requests should be directed to: SINTX Technologies, Inc., Attention: Investor Relations, 1885 West 2100 South, Salt Lake City, Utah 84119 and our telephone number is (801) 839-3500. </w:t>
      </w:r>
      <w:r>
        <w:rPr>
          <w:rFonts w:ascii="Times New Roman;Times;Serif" w:hAnsi="Times New Roman;Times;Serif"/>
          <w:b w:val="false"/>
          <w:i w:val="false"/>
          <w:caps w:val="false"/>
          <w:smallCaps w:val="false"/>
          <w:sz w:val="20"/>
          <w:shd w:fill="FFFFFF" w:val="clear"/>
        </w:rPr>
        <w:t>You may also access the documents incorporated by reference in this prospectus through our website at www.sintx.com.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$6,413,876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14625"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8"/>
                    <a:stretch>
                      <a:fillRect/>
                    </a:stretch>
                  </pic:blipFill>
                  <pic:spPr bwMode="auto">
                    <a:xfrm>
                      <a:off x="0" y="0"/>
                      <a:ext cx="2714625"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&amp; Co.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9026/000149315225010870/form10-k.htm" TargetMode="External"/><Relationship Id="rId4" Type="http://schemas.openxmlformats.org/officeDocument/2006/relationships/hyperlink" Target="https://www.sec.gov/Archives/edgar/data/1269026/000164117225010496/form10-q.htm" TargetMode="External"/><Relationship Id="rId5" Type="http://schemas.openxmlformats.org/officeDocument/2006/relationships/hyperlink" Target="https://www.sec.gov/Archives/edgar/data/1269026/000164117225024040/form10-q.htm" TargetMode="External"/><Relationship Id="rId6" Type="http://schemas.openxmlformats.org/officeDocument/2006/relationships/hyperlink" Target="https://www.sec.gov/Archives/edgar/data/1269026/000149315225007635/form8-k.htm" TargetMode="External"/><Relationship Id="rId7" Type="http://schemas.openxmlformats.org/officeDocument/2006/relationships/hyperlink" Target="https://www.sec.gov/Archives/edgar/data/1269026/000149315225008277/form8-k.htm" TargetMode="External"/><Relationship Id="rId8" Type="http://schemas.openxmlformats.org/officeDocument/2006/relationships/hyperlink" Target="https://www.sec.gov/Archives/edgar/data/1269026/000149315225010204/form8-k.htm" TargetMode="External"/><Relationship Id="rId9" Type="http://schemas.openxmlformats.org/officeDocument/2006/relationships/hyperlink" Target="https://www.sec.gov/Archives/edgar/data/1269026/000164117225003233/form8-k.htm" TargetMode="External"/><Relationship Id="rId10" Type="http://schemas.openxmlformats.org/officeDocument/2006/relationships/hyperlink" Target="https://www.sec.gov/Archives/edgar/data/1269026/000164117225009063/form8-k.htm" TargetMode="External"/><Relationship Id="rId11" Type="http://schemas.openxmlformats.org/officeDocument/2006/relationships/hyperlink" Target="https://www.sec.gov/Archives/edgar/data/1269026/000164117225016891/form8-k.htm" TargetMode="External"/><Relationship Id="rId12" Type="http://schemas.openxmlformats.org/officeDocument/2006/relationships/hyperlink" Target="https://www.sec.gov/Archives/edgar/data/1269026/000149315225012731/form8-k.htm" TargetMode="External"/><Relationship Id="rId13" Type="http://schemas.openxmlformats.org/officeDocument/2006/relationships/hyperlink" Target="https://www.sec.gov/Archives/edgar/data/1269026/000149315225012834/form8-k.htm" TargetMode="External"/><Relationship Id="rId14" Type="http://schemas.openxmlformats.org/officeDocument/2006/relationships/hyperlink" Target="https://www.sec.gov/Archives/edgar/data/1269026/000119312514040613/d672126d8a12b.htm" TargetMode="External"/><Relationship Id="rId15" Type="http://schemas.openxmlformats.org/officeDocument/2006/relationships/hyperlink" Target="https://www.sec.gov/Archives/edgar/data/1269026/000149315223009492/ex4-18.htm" TargetMode="External"/><Relationship Id="rId16" Type="http://schemas.openxmlformats.org/officeDocument/2006/relationships/hyperlink" Target="http://www.sec.gov/Archives/edgar/data/1269026/000149315223009492/form10-k.htm" TargetMode="External"/><Relationship Id="rId17" Type="http://schemas.openxmlformats.org/officeDocument/2006/relationships/hyperlink" Target="https://www.sec.gov/Archives/edgar/data/1269026/000149315223017158/form10-q.htm" TargetMode="External"/><Relationship Id="rId18" Type="http://schemas.openxmlformats.org/officeDocument/2006/relationships/hyperlink" Target="https://www.sec.gov/Archives/edgar/data/1269026/000149315223027190/form10-q.htm" TargetMode="External"/><Relationship Id="rId19" Type="http://schemas.openxmlformats.org/officeDocument/2006/relationships/hyperlink" Target="https://www.sec.gov/ix?doc=/Archives/edgar/data/1269026/000149315223040669/form10-q.htm" TargetMode="External"/><Relationship Id="rId20" Type="http://schemas.openxmlformats.org/officeDocument/2006/relationships/hyperlink" Target="https://www.sec.gov/Archives/edgar/data/1269026/000149315223001429/form8-k.htm" TargetMode="External"/><Relationship Id="rId21" Type="http://schemas.openxmlformats.org/officeDocument/2006/relationships/hyperlink" Target="https://www.sec.gov/Archives/edgar/data/1269026/000149315223004104/form8-k.htm" TargetMode="External"/><Relationship Id="rId22" Type="http://schemas.openxmlformats.org/officeDocument/2006/relationships/hyperlink" Target="https://www.sec.gov/ix?doc=/Archives/edgar/data/1269026/000149315223036867/form8-k.htm" TargetMode="External"/><Relationship Id="rId23" Type="http://schemas.openxmlformats.org/officeDocument/2006/relationships/hyperlink" Target="https://www.sec.gov/ix?doc=/Archives/edgar/data/1269026/000149315223037064/form8-k.htm" TargetMode="External"/><Relationship Id="rId24" Type="http://schemas.openxmlformats.org/officeDocument/2006/relationships/hyperlink" Target="https://www.sec.gov/ix?doc=/Archives/edgar/data/1269026/000149315223037839/form8-k.htm" TargetMode="External"/><Relationship Id="rId25" Type="http://schemas.openxmlformats.org/officeDocument/2006/relationships/hyperlink" Target="https://www.sec.gov/ix?doc=/Archives/edgar/data/1269026/000149315223039657/form8-k.htm" TargetMode="External"/><Relationship Id="rId26" Type="http://schemas.openxmlformats.org/officeDocument/2006/relationships/hyperlink" Target="https://www.sec.gov/Archives/edgar/data/1269026/000119312514040613/d672126d8a12b.htm" TargetMode="External"/><Relationship Id="rId27" Type="http://schemas.openxmlformats.org/officeDocument/2006/relationships/hyperlink" Target="https://www.sec.gov/Archives/edgar/data/1269026/000149315223009492/ex4-18.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35529</Words>
  <Characters>185513</Characters>
  <CharactersWithSpaces>221428</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