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June 24, 2026</w:t>
      </w:r>
    </w:p>
    <w:p>
      <w:pPr>
        <w:spacing w:after="0" w:line="178" w:lineRule="exact"/>
        <w:rPr>
          <w:sz w:val="24"/>
          <w:szCs w:val="24"/>
          <w:color w:val="auto"/>
        </w:rPr>
      </w:pPr>
    </w:p>
    <w:p>
      <w:pPr>
        <w:ind w:left="982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16153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336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170815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1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SINTX Technologies, Inc.</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80"/>
          </w:cols>
          <w:pgMar w:left="300" w:top="377" w:right="319" w:bottom="1440" w:gutter="0" w:footer="0" w:header="0"/>
        </w:sectPr>
      </w:pPr>
    </w:p>
    <w:p>
      <w:pPr>
        <w:spacing w:after="0" w:line="160"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5"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9"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4"/>
          <w:szCs w:val="14"/>
          <w:b w:val="1"/>
          <w:bCs w:val="1"/>
          <w:color w:val="auto"/>
        </w:rPr>
        <w:t>84-1375299</w:t>
      </w:r>
    </w:p>
    <w:p>
      <w:pPr>
        <w:spacing w:after="0" w:line="25"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4"/>
          <w:szCs w:val="14"/>
          <w:color w:val="auto"/>
        </w:rPr>
        <w:t>(I.R.S. Employer</w:t>
      </w:r>
    </w:p>
    <w:p>
      <w:pPr>
        <w:spacing w:after="0" w:line="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4"/>
          <w:szCs w:val="14"/>
          <w:color w:val="auto"/>
        </w:rPr>
        <w:t>Identification Number)</w:t>
      </w:r>
    </w:p>
    <w:p>
      <w:pPr>
        <w:spacing w:after="0" w:line="162" w:lineRule="exact"/>
        <w:rPr>
          <w:sz w:val="24"/>
          <w:szCs w:val="24"/>
          <w:color w:val="auto"/>
        </w:rPr>
      </w:pPr>
    </w:p>
    <w:p>
      <w:pPr>
        <w:sectPr>
          <w:pgSz w:w="11900" w:h="16838" w:orient="portrait"/>
          <w:cols w:equalWidth="0" w:num="2">
            <w:col w:w="7140" w:space="720"/>
            <w:col w:w="3420"/>
          </w:cols>
          <w:pgMar w:left="300" w:top="377"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1885 West 2100 South</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Salt Lake City, UT 84119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Eric Olson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SINTX Technologies,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1885 West 2100 South</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Salt Lake City, UT, 84119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(801) 839-3500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David F. Marx</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Daniel P. Lyman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Dorsey &amp; Whitney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111 South Main Street, Suite 2100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Salt Lake City, Utah 84111</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this Registration Statement as determined by the selling stockholders.</w:t>
      </w:r>
    </w:p>
    <w:p>
      <w:pPr>
        <w:spacing w:after="0" w:line="14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209"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35"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5"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5"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35"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3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60" w:type="dxa"/>
            <w:vAlign w:val="bottom"/>
          </w:tcPr>
          <w:p>
            <w:pPr>
              <w:ind w:left="202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Accelerated filer</w:t>
            </w:r>
          </w:p>
        </w:tc>
        <w:tc>
          <w:tcPr>
            <w:tcW w:w="2000" w:type="dxa"/>
            <w:vAlign w:val="bottom"/>
          </w:tcPr>
          <w:p>
            <w:pPr>
              <w:ind w:left="18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0"/>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60" w:type="dxa"/>
            <w:vAlign w:val="bottom"/>
          </w:tcPr>
          <w:p>
            <w:pPr>
              <w:ind w:left="202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000" w:type="dxa"/>
            <w:vAlign w:val="bottom"/>
          </w:tcPr>
          <w:p>
            <w:pPr>
              <w:ind w:left="18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32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2000" w:type="dxa"/>
            <w:vAlign w:val="bottom"/>
          </w:tcPr>
          <w:p>
            <w:pPr>
              <w:ind w:left="18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30"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33"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108585</wp:posOffset>
            </wp:positionV>
            <wp:extent cx="7161530"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336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377" w:right="319" w:bottom="1440" w:gutter="0" w:footer="0" w:header="0"/>
          <w:type w:val="continuous"/>
        </w:sectPr>
      </w:pPr>
    </w:p>
    <w:bookmarkStart w:id="1" w:name="page2"/>
    <w:bookmarkEnd w:id="1"/>
    <w:p>
      <w:pPr>
        <w:jc w:val="both"/>
        <w:spacing w:after="0" w:line="271" w:lineRule="auto"/>
        <w:rPr>
          <w:sz w:val="20"/>
          <w:szCs w:val="20"/>
          <w:color w:val="auto"/>
        </w:rPr>
      </w:pPr>
      <w:r>
        <w:rPr>
          <w:rFonts w:ascii="Times New Roman" w:cs="Times New Roman" w:eastAsia="Times New Roman" w:hAnsi="Times New Roman"/>
          <w:sz w:val="14"/>
          <w:szCs w:val="14"/>
          <w:b w:val="1"/>
          <w:bCs w:val="1"/>
          <w:color w:val="FF0000"/>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ectPr>
          <w:pgSz w:w="11900" w:h="16838" w:orient="portrait"/>
          <w:cols w:equalWidth="0" w:num="1">
            <w:col w:w="11280"/>
          </w:cols>
          <w:pgMar w:left="300" w:top="547" w:right="319" w:bottom="1440" w:gutter="0" w:footer="0" w:header="0"/>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FF0000"/>
        </w:rPr>
        <w:t>SUBJECT TO COMPLETION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FF0000"/>
        </w:rPr>
        <w:t>PRELIMINARY PROSPECTUS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FF0000"/>
        </w:rPr>
        <w:t>DATED JUNE 24, 2026</w:t>
      </w:r>
    </w:p>
    <w:p>
      <w:pPr>
        <w:spacing w:after="0" w:line="347" w:lineRule="exact"/>
        <w:rPr>
          <w:sz w:val="20"/>
          <w:szCs w:val="20"/>
          <w:color w:val="auto"/>
        </w:rPr>
      </w:pPr>
    </w:p>
    <w:p>
      <w:pPr>
        <w:sectPr>
          <w:pgSz w:w="11900" w:h="16838" w:orient="portrait"/>
          <w:cols w:equalWidth="0" w:num="2">
            <w:col w:w="9140" w:space="720"/>
            <w:col w:w="1420"/>
          </w:cols>
          <w:pgMar w:left="300" w:top="547" w:right="31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SINTX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130810</wp:posOffset>
            </wp:positionV>
            <wp:extent cx="1346200" cy="316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6200" cy="316230"/>
                    </a:xfrm>
                    <a:prstGeom prst="rect">
                      <a:avLst/>
                    </a:prstGeom>
                    <a:noFill/>
                  </pic:spPr>
                </pic:pic>
              </a:graphicData>
            </a:graphic>
          </wp:anchor>
        </w:drawing>
      </w:r>
    </w:p>
    <w:p>
      <w:pPr>
        <w:sectPr>
          <w:pgSz w:w="11900" w:h="16838" w:orient="portrait"/>
          <w:cols w:equalWidth="0" w:num="1">
            <w:col w:w="11280"/>
          </w:cols>
          <w:pgMar w:left="300" w:top="54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5,819,323 Shares of Common Stock Offered by the Selling Stockholders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This prospectus relates to the offer and resale by the selling stockholders identified in this prospectus or their donees, pledgees, assignees, transferees, distributees or other successors-in-interest (the “selling stockholders”) of up to an aggregate of 5,819,323 shares (the “Shares”) of our common stock, par value $0.01 per share (the “common stock”), issued by us in connection with a private placement on June 2, 2026, including (x) 1,882,846 units consisting of (i) 1,882,846 shares of our common stock (the “Common Shares”); (ii) 1,882,846 shares (the “Class A Warrant Shares”) issuable upon the exercise of Class A common stock purchase warrant to purchase shares of our common stock held by selling stockholders (the “Class A Warrants”), and (iii) 1,882,846 shares (the “Class B Warrant Shares”) issuable upon the exercise of Class B common stock purchase warrant to purchase shares of our common stock held by selling stockholders (the “Class B Warrants”), (y) 78,212 shares of common stock issued to certain financial advisor (or its designees) as compensation for financial advisory and referral services rendered in connection with the Private Placement (as defined below) (the “Compensation Shares”), and (z) 92,573 shares (the “Placement Agent Warrant Shares” and together with the Class A Warrant Shares and the Class B Warrant Shares, the “Warrant Shares”) issuable upon the exercise of placement agent common stock purchase warrants to purchase shares of our common stock held by certain of the selling stockholders (the “Placement Agent Warrants” and together with the Class A Warrants and Class B Warrants, the “Warrants”). The Common Shares and Warrants were issued to the selling stockholders in connection with a private placement (the “Private Placement”) pursuant to a securities purchase agreement dated June 2, 2026. The Compensation Shares were issued to Arcadia Securities LLC (“Arcadia”) as compensation for advisory services.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not selling any shares of common stock under this prospectus and will not receive any proceeds from the sale by the selling stockholders of the Shares. We would, however, receive gross proceeds of up to approximately $8.3 million upon the exercise for cash of the Warrants held by the selling stockholders. Proceeds, if any, received from the exercise of such Warrants will be used for general corporate purposes and working capital. No assurances can be given that any Warrants will be exercised or that we will receive any cash proceeds upon such exercise if cashless exercise is available.</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Sales of the Shares by the selling stockholders may occur at fixed prices, at market prices prevailing at the time of sale, at prices related to prevailing market prices or at negotiated prices. The selling stockholders may sell Shares from time to time to or through underwriters, broker-dealers or agents, who may receive compensation in the form of discounts, concessions or commissions from the selling stockholders, the purchasers of the Shares, or both. The selling stockholder will receive all of the proceeds from the sale of the Shares in this offering. The selling stockholder may sell any, all or none of the Shares and we do not know when or in what amount the selling stockholder may sell the Shares hereunder following the effective date of the registration statement of which this prospectus forms a part.</w:t>
      </w:r>
    </w:p>
    <w:p>
      <w:pPr>
        <w:spacing w:after="0" w:line="1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are paying the cost of registering the shares of common stock covered by this prospectus as well as various related expenses. The selling stockholders are responsible for all broker or similar commissions related to the offer and sale of their Shares. See the section titled “Plan of Distribution” on page 25 for more information about how the selling stockholders may sell or dispose of their Shares.</w:t>
      </w:r>
    </w:p>
    <w:p>
      <w:pPr>
        <w:spacing w:after="0" w:line="1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Our common stock is listed on the Nasdaq Capital Market under the trading symbol “SINT.” On June 23, 2026, the last reported sale price of our common stock was $1.92 per share. We recommend that you obtain current market quotations for our common stock prior to making an investment decision.</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We are a “smaller reporting company” as defined under the federal securities laws and, as such, have elected to comply with certain reduced public company reporting requirements for this prospectus and the documents incorporated by reference herein and may elect to comply with reduced public company reporting requirements in future filings.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 should carefully read this prospectus, together with the documents we incorporate by reference, before you invest in the Shares.</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Investing in our securities involves a high degree of risk. You should review carefully the risks and uncertainties described under the section titled “Risk Factors” on page 5 of this prospectus and any similar section contained in any amendment or supplement to this prospectus or in any filing with the Securities and Exchange Commission that is incorporated by reference into this prospectus.</w:t>
      </w:r>
    </w:p>
    <w:p>
      <w:pPr>
        <w:spacing w:after="0" w:line="13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21"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4"/>
          <w:szCs w:val="14"/>
          <w:b w:val="1"/>
          <w:bCs w:val="1"/>
          <w:color w:val="auto"/>
        </w:rPr>
        <w:t>The date of this prospectus is</w:t>
      </w:r>
      <w:r>
        <w:rPr>
          <w:sz w:val="20"/>
          <w:szCs w:val="20"/>
          <w:color w:val="auto"/>
        </w:rPr>
        <w:tab/>
      </w:r>
      <w:r>
        <w:rPr>
          <w:rFonts w:ascii="Times New Roman" w:cs="Times New Roman" w:eastAsia="Times New Roman" w:hAnsi="Times New Roman"/>
          <w:sz w:val="13"/>
          <w:szCs w:val="13"/>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47"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170"/>
        </w:trPr>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740" w:type="dxa"/>
            <w:vAlign w:val="bottom"/>
          </w:tcPr>
          <w:p>
            <w:pPr>
              <w:spacing w:after="0"/>
              <w:rPr>
                <w:sz w:val="14"/>
                <w:szCs w:val="14"/>
                <w:color w:val="auto"/>
              </w:rPr>
            </w:pPr>
          </w:p>
        </w:tc>
      </w:tr>
      <w:tr>
        <w:trPr>
          <w:trHeight w:val="150"/>
        </w:trPr>
        <w:tc>
          <w:tcPr>
            <w:tcW w:w="1760" w:type="dxa"/>
            <w:vAlign w:val="bottom"/>
            <w:tcBorders>
              <w:bottom w:val="single" w:sz="8" w:color="0000EE"/>
            </w:tcBorders>
            <w:gridSpan w:val="8"/>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0000EE"/>
              </w:rPr>
              <w:t>ABOUT THIS PROSPECTUS</w:t>
            </w:r>
          </w:p>
        </w:tc>
        <w:tc>
          <w:tcPr>
            <w:tcW w:w="2780" w:type="dxa"/>
            <w:vAlign w:val="bottom"/>
            <w:tcBorders>
              <w:bottom w:val="single" w:sz="8" w:color="CCEEFF"/>
            </w:tcBorders>
            <w:gridSpan w:val="4"/>
            <w:shd w:val="clear" w:color="auto" w:fill="CCEEFF"/>
          </w:tcPr>
          <w:p>
            <w:pPr>
              <w:spacing w:after="0"/>
              <w:rPr>
                <w:sz w:val="13"/>
                <w:szCs w:val="13"/>
                <w:color w:val="auto"/>
              </w:rPr>
            </w:pPr>
          </w:p>
        </w:tc>
        <w:tc>
          <w:tcPr>
            <w:tcW w:w="6740" w:type="dxa"/>
            <w:vAlign w:val="bottom"/>
            <w:tcBorders>
              <w:bottom w:val="single" w:sz="8" w:color="CCEEFF"/>
            </w:tcBorders>
            <w:shd w:val="clear" w:color="auto" w:fill="CCEEFF"/>
          </w:tcPr>
          <w:p>
            <w:pPr>
              <w:jc w:val="center"/>
              <w:ind w:left="6169"/>
              <w:spacing w:after="0" w:line="138" w:lineRule="exact"/>
              <w:rPr>
                <w:sz w:val="20"/>
                <w:szCs w:val="20"/>
                <w:color w:val="auto"/>
              </w:rPr>
            </w:pPr>
            <w:r>
              <w:rPr>
                <w:rFonts w:ascii="Times New Roman" w:cs="Times New Roman" w:eastAsia="Times New Roman" w:hAnsi="Times New Roman"/>
                <w:sz w:val="14"/>
                <w:szCs w:val="14"/>
                <w:color w:val="auto"/>
                <w:w w:val="85"/>
              </w:rPr>
              <w:t>1</w:t>
            </w:r>
          </w:p>
        </w:tc>
      </w:tr>
      <w:tr>
        <w:trPr>
          <w:trHeight w:val="144"/>
        </w:trPr>
        <w:tc>
          <w:tcPr>
            <w:tcW w:w="4540" w:type="dxa"/>
            <w:vAlign w:val="bottom"/>
            <w:gridSpan w:val="12"/>
          </w:tcPr>
          <w:p>
            <w:pPr>
              <w:spacing w:after="0" w:line="138" w:lineRule="exact"/>
              <w:rPr>
                <w:sz w:val="20"/>
                <w:szCs w:val="20"/>
                <w:color w:val="auto"/>
              </w:rPr>
            </w:pPr>
            <w:r>
              <w:rPr>
                <w:rFonts w:ascii="Times New Roman" w:cs="Times New Roman" w:eastAsia="Times New Roman" w:hAnsi="Times New Roman"/>
                <w:sz w:val="14"/>
                <w:szCs w:val="14"/>
                <w:color w:val="0000EE"/>
              </w:rPr>
              <w:t>PROSPECTUS SUMMARY</w:t>
            </w:r>
          </w:p>
        </w:tc>
        <w:tc>
          <w:tcPr>
            <w:tcW w:w="6740" w:type="dxa"/>
            <w:vAlign w:val="bottom"/>
          </w:tcPr>
          <w:p>
            <w:pPr>
              <w:jc w:val="center"/>
              <w:ind w:left="6169"/>
              <w:spacing w:after="0" w:line="138" w:lineRule="exact"/>
              <w:rPr>
                <w:sz w:val="20"/>
                <w:szCs w:val="20"/>
                <w:color w:val="auto"/>
              </w:rPr>
            </w:pPr>
            <w:r>
              <w:rPr>
                <w:rFonts w:ascii="Times New Roman" w:cs="Times New Roman" w:eastAsia="Times New Roman" w:hAnsi="Times New Roman"/>
                <w:sz w:val="14"/>
                <w:szCs w:val="14"/>
                <w:color w:val="auto"/>
                <w:w w:val="85"/>
              </w:rPr>
              <w:t>2</w:t>
            </w:r>
          </w:p>
        </w:tc>
      </w:tr>
      <w:tr>
        <w:trPr>
          <w:trHeight w:val="144"/>
        </w:trPr>
        <w:tc>
          <w:tcPr>
            <w:tcW w:w="1640" w:type="dxa"/>
            <w:vAlign w:val="bottom"/>
            <w:tcBorders>
              <w:top w:val="single" w:sz="8" w:color="0000EE"/>
            </w:tcBorders>
            <w:gridSpan w:val="6"/>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EE"/>
              </w:rPr>
              <w:t>THE OFFERING</w:t>
            </w:r>
          </w:p>
        </w:tc>
        <w:tc>
          <w:tcPr>
            <w:tcW w:w="2900" w:type="dxa"/>
            <w:vAlign w:val="bottom"/>
            <w:gridSpan w:val="6"/>
            <w:shd w:val="clear" w:color="auto" w:fill="CCEEFF"/>
          </w:tcPr>
          <w:p>
            <w:pPr>
              <w:spacing w:after="0"/>
              <w:rPr>
                <w:sz w:val="12"/>
                <w:szCs w:val="12"/>
                <w:color w:val="auto"/>
              </w:rPr>
            </w:pPr>
          </w:p>
        </w:tc>
        <w:tc>
          <w:tcPr>
            <w:tcW w:w="6740" w:type="dxa"/>
            <w:vAlign w:val="bottom"/>
            <w:shd w:val="clear" w:color="auto" w:fill="CCEEFF"/>
          </w:tcPr>
          <w:p>
            <w:pPr>
              <w:jc w:val="center"/>
              <w:ind w:left="6169"/>
              <w:spacing w:after="0" w:line="144" w:lineRule="exact"/>
              <w:rPr>
                <w:sz w:val="20"/>
                <w:szCs w:val="20"/>
                <w:color w:val="auto"/>
              </w:rPr>
            </w:pPr>
            <w:r>
              <w:rPr>
                <w:rFonts w:ascii="Times New Roman" w:cs="Times New Roman" w:eastAsia="Times New Roman" w:hAnsi="Times New Roman"/>
                <w:sz w:val="14"/>
                <w:szCs w:val="14"/>
                <w:color w:val="auto"/>
                <w:w w:val="85"/>
              </w:rPr>
              <w:t>3</w:t>
            </w:r>
          </w:p>
        </w:tc>
      </w:tr>
      <w:tr>
        <w:trPr>
          <w:trHeight w:val="32"/>
        </w:trPr>
        <w:tc>
          <w:tcPr>
            <w:tcW w:w="600" w:type="dxa"/>
            <w:vAlign w:val="bottom"/>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740" w:type="dxa"/>
            <w:vAlign w:val="bottom"/>
            <w:shd w:val="clear" w:color="auto" w:fill="CCEEFF"/>
          </w:tcPr>
          <w:p>
            <w:pPr>
              <w:spacing w:after="0"/>
              <w:rPr>
                <w:sz w:val="2"/>
                <w:szCs w:val="2"/>
                <w:color w:val="auto"/>
              </w:rPr>
            </w:pPr>
          </w:p>
        </w:tc>
      </w:tr>
      <w:tr>
        <w:trPr>
          <w:trHeight w:val="144"/>
        </w:trPr>
        <w:tc>
          <w:tcPr>
            <w:tcW w:w="4200" w:type="dxa"/>
            <w:vAlign w:val="bottom"/>
            <w:tcBorders>
              <w:bottom w:val="single" w:sz="8" w:color="0000EE"/>
            </w:tcBorders>
            <w:gridSpan w:val="11"/>
          </w:tcPr>
          <w:p>
            <w:pPr>
              <w:spacing w:after="0" w:line="138" w:lineRule="exact"/>
              <w:rPr>
                <w:sz w:val="20"/>
                <w:szCs w:val="20"/>
                <w:color w:val="auto"/>
              </w:rPr>
            </w:pPr>
            <w:r>
              <w:rPr>
                <w:rFonts w:ascii="Times New Roman" w:cs="Times New Roman" w:eastAsia="Times New Roman" w:hAnsi="Times New Roman"/>
                <w:sz w:val="14"/>
                <w:szCs w:val="14"/>
                <w:color w:val="0000EE"/>
                <w:w w:val="99"/>
              </w:rPr>
              <w:t>SPECIAL NOTE REGARDING FORWARD-LOOKING STATEMENTS</w:t>
            </w:r>
          </w:p>
        </w:tc>
        <w:tc>
          <w:tcPr>
            <w:tcW w:w="340" w:type="dxa"/>
            <w:vAlign w:val="bottom"/>
          </w:tcPr>
          <w:p>
            <w:pPr>
              <w:spacing w:after="0"/>
              <w:rPr>
                <w:sz w:val="12"/>
                <w:szCs w:val="12"/>
                <w:color w:val="auto"/>
              </w:rPr>
            </w:pPr>
          </w:p>
        </w:tc>
        <w:tc>
          <w:tcPr>
            <w:tcW w:w="6740" w:type="dxa"/>
            <w:vAlign w:val="bottom"/>
          </w:tcPr>
          <w:p>
            <w:pPr>
              <w:jc w:val="center"/>
              <w:ind w:left="6169"/>
              <w:spacing w:after="0" w:line="138" w:lineRule="exact"/>
              <w:rPr>
                <w:sz w:val="20"/>
                <w:szCs w:val="20"/>
                <w:color w:val="auto"/>
              </w:rPr>
            </w:pPr>
            <w:r>
              <w:rPr>
                <w:rFonts w:ascii="Times New Roman" w:cs="Times New Roman" w:eastAsia="Times New Roman" w:hAnsi="Times New Roman"/>
                <w:sz w:val="14"/>
                <w:szCs w:val="14"/>
                <w:color w:val="auto"/>
                <w:w w:val="85"/>
              </w:rPr>
              <w:t>4</w:t>
            </w:r>
          </w:p>
        </w:tc>
      </w:tr>
      <w:tr>
        <w:trPr>
          <w:trHeight w:val="144"/>
        </w:trPr>
        <w:tc>
          <w:tcPr>
            <w:tcW w:w="4540" w:type="dxa"/>
            <w:vAlign w:val="bottom"/>
            <w:gridSpan w:val="1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EE"/>
              </w:rPr>
              <w:t>RISK FACTORS</w:t>
            </w:r>
          </w:p>
        </w:tc>
        <w:tc>
          <w:tcPr>
            <w:tcW w:w="6740" w:type="dxa"/>
            <w:vAlign w:val="bottom"/>
            <w:shd w:val="clear" w:color="auto" w:fill="CCEEFF"/>
          </w:tcPr>
          <w:p>
            <w:pPr>
              <w:jc w:val="center"/>
              <w:ind w:left="6169"/>
              <w:spacing w:after="0" w:line="144" w:lineRule="exact"/>
              <w:rPr>
                <w:sz w:val="20"/>
                <w:szCs w:val="20"/>
                <w:color w:val="auto"/>
              </w:rPr>
            </w:pPr>
            <w:r>
              <w:rPr>
                <w:rFonts w:ascii="Times New Roman" w:cs="Times New Roman" w:eastAsia="Times New Roman" w:hAnsi="Times New Roman"/>
                <w:sz w:val="14"/>
                <w:szCs w:val="14"/>
                <w:color w:val="auto"/>
                <w:w w:val="85"/>
              </w:rPr>
              <w:t>5</w:t>
            </w:r>
          </w:p>
        </w:tc>
      </w:tr>
      <w:tr>
        <w:trPr>
          <w:trHeight w:val="32"/>
        </w:trPr>
        <w:tc>
          <w:tcPr>
            <w:tcW w:w="600" w:type="dxa"/>
            <w:vAlign w:val="bottom"/>
            <w:shd w:val="clear" w:color="auto" w:fill="0000EE"/>
          </w:tcPr>
          <w:p>
            <w:pPr>
              <w:spacing w:after="0"/>
              <w:rPr>
                <w:sz w:val="2"/>
                <w:szCs w:val="2"/>
                <w:color w:val="auto"/>
              </w:rPr>
            </w:pPr>
          </w:p>
        </w:tc>
        <w:tc>
          <w:tcPr>
            <w:tcW w:w="400" w:type="dxa"/>
            <w:vAlign w:val="bottom"/>
            <w:tcBorders>
              <w:right w:val="single" w:sz="8" w:color="CCEEFF"/>
            </w:tcBorders>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740" w:type="dxa"/>
            <w:vAlign w:val="bottom"/>
            <w:shd w:val="clear" w:color="auto" w:fill="CCEEFF"/>
          </w:tcPr>
          <w:p>
            <w:pPr>
              <w:spacing w:after="0"/>
              <w:rPr>
                <w:sz w:val="2"/>
                <w:szCs w:val="2"/>
                <w:color w:val="auto"/>
              </w:rPr>
            </w:pPr>
          </w:p>
        </w:tc>
      </w:tr>
      <w:tr>
        <w:trPr>
          <w:trHeight w:val="138"/>
        </w:trPr>
        <w:tc>
          <w:tcPr>
            <w:tcW w:w="4540" w:type="dxa"/>
            <w:vAlign w:val="bottom"/>
            <w:gridSpan w:val="12"/>
          </w:tcPr>
          <w:p>
            <w:pPr>
              <w:spacing w:after="0" w:line="138" w:lineRule="exact"/>
              <w:rPr>
                <w:sz w:val="20"/>
                <w:szCs w:val="20"/>
                <w:color w:val="auto"/>
              </w:rPr>
            </w:pPr>
            <w:r>
              <w:rPr>
                <w:rFonts w:ascii="Times New Roman" w:cs="Times New Roman" w:eastAsia="Times New Roman" w:hAnsi="Times New Roman"/>
                <w:sz w:val="14"/>
                <w:szCs w:val="14"/>
                <w:color w:val="0000EE"/>
              </w:rPr>
              <w:t>USE OF PROCEEDS</w:t>
            </w:r>
          </w:p>
        </w:tc>
        <w:tc>
          <w:tcPr>
            <w:tcW w:w="6740" w:type="dxa"/>
            <w:vAlign w:val="bottom"/>
          </w:tcPr>
          <w:p>
            <w:pPr>
              <w:jc w:val="center"/>
              <w:ind w:left="6169"/>
              <w:spacing w:after="0" w:line="138" w:lineRule="exact"/>
              <w:rPr>
                <w:sz w:val="20"/>
                <w:szCs w:val="20"/>
                <w:color w:val="auto"/>
              </w:rPr>
            </w:pPr>
            <w:r>
              <w:rPr>
                <w:rFonts w:ascii="Times New Roman" w:cs="Times New Roman" w:eastAsia="Times New Roman" w:hAnsi="Times New Roman"/>
                <w:sz w:val="14"/>
                <w:szCs w:val="14"/>
                <w:color w:val="auto"/>
                <w:w w:val="85"/>
              </w:rPr>
              <w:t>7</w:t>
            </w:r>
          </w:p>
        </w:tc>
      </w:tr>
      <w:tr>
        <w:trPr>
          <w:trHeight w:val="26"/>
        </w:trPr>
        <w:tc>
          <w:tcPr>
            <w:tcW w:w="600" w:type="dxa"/>
            <w:vAlign w:val="bottom"/>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156"/>
        </w:trPr>
        <w:tc>
          <w:tcPr>
            <w:tcW w:w="4540" w:type="dxa"/>
            <w:vAlign w:val="bottom"/>
            <w:gridSpan w:val="1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EE"/>
              </w:rPr>
              <w:t>SELLING STOCKHOLDERS</w:t>
            </w:r>
          </w:p>
        </w:tc>
        <w:tc>
          <w:tcPr>
            <w:tcW w:w="6740" w:type="dxa"/>
            <w:vAlign w:val="bottom"/>
            <w:shd w:val="clear" w:color="auto" w:fill="CCEEFF"/>
          </w:tcPr>
          <w:p>
            <w:pPr>
              <w:jc w:val="center"/>
              <w:ind w:left="6169"/>
              <w:spacing w:after="0" w:line="144" w:lineRule="exact"/>
              <w:rPr>
                <w:sz w:val="20"/>
                <w:szCs w:val="20"/>
                <w:color w:val="auto"/>
              </w:rPr>
            </w:pPr>
            <w:r>
              <w:rPr>
                <w:rFonts w:ascii="Times New Roman" w:cs="Times New Roman" w:eastAsia="Times New Roman" w:hAnsi="Times New Roman"/>
                <w:sz w:val="14"/>
                <w:szCs w:val="14"/>
                <w:color w:val="auto"/>
                <w:w w:val="99"/>
              </w:rPr>
              <w:t>22</w:t>
            </w:r>
          </w:p>
        </w:tc>
      </w:tr>
      <w:tr>
        <w:trPr>
          <w:trHeight w:val="144"/>
        </w:trPr>
        <w:tc>
          <w:tcPr>
            <w:tcW w:w="1620" w:type="dxa"/>
            <w:vAlign w:val="bottom"/>
            <w:tcBorders>
              <w:top w:val="single" w:sz="8" w:color="0000EE"/>
              <w:bottom w:val="single" w:sz="8" w:color="0000EE"/>
            </w:tcBorders>
            <w:gridSpan w:val="5"/>
          </w:tcPr>
          <w:p>
            <w:pPr>
              <w:spacing w:after="0" w:line="138" w:lineRule="exact"/>
              <w:rPr>
                <w:sz w:val="20"/>
                <w:szCs w:val="20"/>
                <w:color w:val="auto"/>
              </w:rPr>
            </w:pPr>
            <w:r>
              <w:rPr>
                <w:rFonts w:ascii="Times New Roman" w:cs="Times New Roman" w:eastAsia="Times New Roman" w:hAnsi="Times New Roman"/>
                <w:sz w:val="14"/>
                <w:szCs w:val="14"/>
                <w:color w:val="0000EE"/>
              </w:rPr>
              <w:t>PLAN OF DISTRIBUTION</w:t>
            </w:r>
          </w:p>
        </w:tc>
        <w:tc>
          <w:tcPr>
            <w:tcW w:w="120" w:type="dxa"/>
            <w:vAlign w:val="bottom"/>
            <w:tcBorders>
              <w:top w:val="single" w:sz="8" w:color="0000EE"/>
            </w:tcBorders>
            <w:gridSpan w:val="2"/>
          </w:tcPr>
          <w:p>
            <w:pPr>
              <w:spacing w:after="0"/>
              <w:rPr>
                <w:sz w:val="12"/>
                <w:szCs w:val="12"/>
                <w:color w:val="auto"/>
              </w:rPr>
            </w:pPr>
          </w:p>
        </w:tc>
        <w:tc>
          <w:tcPr>
            <w:tcW w:w="2800" w:type="dxa"/>
            <w:vAlign w:val="bottom"/>
            <w:tcBorders>
              <w:top w:val="single" w:sz="8" w:color="CCEEFF"/>
            </w:tcBorders>
            <w:gridSpan w:val="5"/>
          </w:tcPr>
          <w:p>
            <w:pPr>
              <w:spacing w:after="0"/>
              <w:rPr>
                <w:sz w:val="12"/>
                <w:szCs w:val="12"/>
                <w:color w:val="auto"/>
              </w:rPr>
            </w:pPr>
          </w:p>
        </w:tc>
        <w:tc>
          <w:tcPr>
            <w:tcW w:w="6740" w:type="dxa"/>
            <w:vAlign w:val="bottom"/>
            <w:tcBorders>
              <w:top w:val="single" w:sz="8" w:color="CCEEFF"/>
            </w:tcBorders>
          </w:tcPr>
          <w:p>
            <w:pPr>
              <w:jc w:val="center"/>
              <w:ind w:left="6169"/>
              <w:spacing w:after="0" w:line="138" w:lineRule="exact"/>
              <w:rPr>
                <w:sz w:val="20"/>
                <w:szCs w:val="20"/>
                <w:color w:val="auto"/>
              </w:rPr>
            </w:pPr>
            <w:r>
              <w:rPr>
                <w:rFonts w:ascii="Times New Roman" w:cs="Times New Roman" w:eastAsia="Times New Roman" w:hAnsi="Times New Roman"/>
                <w:sz w:val="14"/>
                <w:szCs w:val="14"/>
                <w:color w:val="auto"/>
                <w:w w:val="99"/>
              </w:rPr>
              <w:t>25</w:t>
            </w:r>
          </w:p>
        </w:tc>
      </w:tr>
      <w:tr>
        <w:trPr>
          <w:trHeight w:val="156"/>
        </w:trPr>
        <w:tc>
          <w:tcPr>
            <w:tcW w:w="4540" w:type="dxa"/>
            <w:vAlign w:val="bottom"/>
            <w:gridSpan w:val="1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EE"/>
              </w:rPr>
              <w:t>LEGAL MATTERS</w:t>
            </w:r>
          </w:p>
        </w:tc>
        <w:tc>
          <w:tcPr>
            <w:tcW w:w="6740" w:type="dxa"/>
            <w:vAlign w:val="bottom"/>
            <w:shd w:val="clear" w:color="auto" w:fill="CCEEFF"/>
          </w:tcPr>
          <w:p>
            <w:pPr>
              <w:jc w:val="center"/>
              <w:ind w:left="6169"/>
              <w:spacing w:after="0" w:line="144" w:lineRule="exact"/>
              <w:rPr>
                <w:sz w:val="20"/>
                <w:szCs w:val="20"/>
                <w:color w:val="auto"/>
              </w:rPr>
            </w:pPr>
            <w:r>
              <w:rPr>
                <w:rFonts w:ascii="Times New Roman" w:cs="Times New Roman" w:eastAsia="Times New Roman" w:hAnsi="Times New Roman"/>
                <w:sz w:val="14"/>
                <w:szCs w:val="14"/>
                <w:color w:val="auto"/>
                <w:w w:val="99"/>
              </w:rPr>
              <w:t>26</w:t>
            </w:r>
          </w:p>
        </w:tc>
      </w:tr>
      <w:tr>
        <w:trPr>
          <w:trHeight w:val="138"/>
        </w:trPr>
        <w:tc>
          <w:tcPr>
            <w:tcW w:w="1140" w:type="dxa"/>
            <w:vAlign w:val="bottom"/>
            <w:tcBorders>
              <w:top w:val="single" w:sz="8" w:color="0000EE"/>
            </w:tcBorders>
            <w:gridSpan w:val="3"/>
          </w:tcPr>
          <w:p>
            <w:pPr>
              <w:spacing w:after="0" w:line="138" w:lineRule="exact"/>
              <w:rPr>
                <w:sz w:val="20"/>
                <w:szCs w:val="20"/>
                <w:color w:val="auto"/>
              </w:rPr>
            </w:pPr>
            <w:r>
              <w:rPr>
                <w:rFonts w:ascii="Times New Roman" w:cs="Times New Roman" w:eastAsia="Times New Roman" w:hAnsi="Times New Roman"/>
                <w:sz w:val="14"/>
                <w:szCs w:val="14"/>
                <w:color w:val="0000EE"/>
              </w:rPr>
              <w:t>EXPERTS</w:t>
            </w:r>
          </w:p>
        </w:tc>
        <w:tc>
          <w:tcPr>
            <w:tcW w:w="3400" w:type="dxa"/>
            <w:vAlign w:val="bottom"/>
            <w:tcBorders>
              <w:top w:val="single" w:sz="8" w:color="CCEEFF"/>
            </w:tcBorders>
            <w:gridSpan w:val="9"/>
          </w:tcPr>
          <w:p>
            <w:pPr>
              <w:spacing w:after="0"/>
              <w:rPr>
                <w:sz w:val="11"/>
                <w:szCs w:val="11"/>
                <w:color w:val="auto"/>
              </w:rPr>
            </w:pPr>
          </w:p>
        </w:tc>
        <w:tc>
          <w:tcPr>
            <w:tcW w:w="6740" w:type="dxa"/>
            <w:vAlign w:val="bottom"/>
            <w:tcBorders>
              <w:top w:val="single" w:sz="8" w:color="CCEEFF"/>
            </w:tcBorders>
          </w:tcPr>
          <w:p>
            <w:pPr>
              <w:jc w:val="center"/>
              <w:ind w:left="6169"/>
              <w:spacing w:after="0" w:line="138" w:lineRule="exact"/>
              <w:rPr>
                <w:sz w:val="20"/>
                <w:szCs w:val="20"/>
                <w:color w:val="auto"/>
              </w:rPr>
            </w:pPr>
            <w:r>
              <w:rPr>
                <w:rFonts w:ascii="Times New Roman" w:cs="Times New Roman" w:eastAsia="Times New Roman" w:hAnsi="Times New Roman"/>
                <w:sz w:val="14"/>
                <w:szCs w:val="14"/>
                <w:color w:val="auto"/>
                <w:w w:val="99"/>
              </w:rPr>
              <w:t>26</w:t>
            </w:r>
          </w:p>
        </w:tc>
      </w:tr>
      <w:tr>
        <w:trPr>
          <w:trHeight w:val="26"/>
        </w:trPr>
        <w:tc>
          <w:tcPr>
            <w:tcW w:w="600" w:type="dxa"/>
            <w:vAlign w:val="bottom"/>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144"/>
        </w:trPr>
        <w:tc>
          <w:tcPr>
            <w:tcW w:w="4540" w:type="dxa"/>
            <w:vAlign w:val="bottom"/>
            <w:gridSpan w:val="1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EE"/>
              </w:rPr>
              <w:t>WHERE YOU CAN FIND ADDITIONAL INFORMATION</w:t>
            </w:r>
          </w:p>
        </w:tc>
        <w:tc>
          <w:tcPr>
            <w:tcW w:w="6740" w:type="dxa"/>
            <w:vAlign w:val="bottom"/>
            <w:shd w:val="clear" w:color="auto" w:fill="CCEEFF"/>
          </w:tcPr>
          <w:p>
            <w:pPr>
              <w:jc w:val="center"/>
              <w:ind w:left="6169"/>
              <w:spacing w:after="0" w:line="144" w:lineRule="exact"/>
              <w:rPr>
                <w:sz w:val="20"/>
                <w:szCs w:val="20"/>
                <w:color w:val="auto"/>
              </w:rPr>
            </w:pPr>
            <w:r>
              <w:rPr>
                <w:rFonts w:ascii="Times New Roman" w:cs="Times New Roman" w:eastAsia="Times New Roman" w:hAnsi="Times New Roman"/>
                <w:sz w:val="14"/>
                <w:szCs w:val="14"/>
                <w:color w:val="auto"/>
                <w:w w:val="99"/>
              </w:rPr>
              <w:t>26</w:t>
            </w:r>
          </w:p>
        </w:tc>
      </w:tr>
      <w:tr>
        <w:trPr>
          <w:trHeight w:val="32"/>
        </w:trPr>
        <w:tc>
          <w:tcPr>
            <w:tcW w:w="600" w:type="dxa"/>
            <w:vAlign w:val="bottom"/>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700" w:type="dxa"/>
            <w:vAlign w:val="bottom"/>
            <w:shd w:val="clear" w:color="auto" w:fill="0000EE"/>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740" w:type="dxa"/>
            <w:vAlign w:val="bottom"/>
            <w:shd w:val="clear" w:color="auto" w:fill="CCEEFF"/>
          </w:tcPr>
          <w:p>
            <w:pPr>
              <w:spacing w:after="0"/>
              <w:rPr>
                <w:sz w:val="2"/>
                <w:szCs w:val="2"/>
                <w:color w:val="auto"/>
              </w:rPr>
            </w:pPr>
          </w:p>
        </w:tc>
      </w:tr>
      <w:tr>
        <w:trPr>
          <w:trHeight w:val="138"/>
        </w:trPr>
        <w:tc>
          <w:tcPr>
            <w:tcW w:w="4080" w:type="dxa"/>
            <w:vAlign w:val="bottom"/>
            <w:tcBorders>
              <w:bottom w:val="single" w:sz="8" w:color="0000EE"/>
            </w:tcBorders>
            <w:gridSpan w:val="10"/>
          </w:tcPr>
          <w:p>
            <w:pPr>
              <w:spacing w:after="0" w:line="138" w:lineRule="exact"/>
              <w:rPr>
                <w:sz w:val="20"/>
                <w:szCs w:val="20"/>
                <w:color w:val="auto"/>
              </w:rPr>
            </w:pPr>
            <w:r>
              <w:rPr>
                <w:rFonts w:ascii="Times New Roman" w:cs="Times New Roman" w:eastAsia="Times New Roman" w:hAnsi="Times New Roman"/>
                <w:sz w:val="14"/>
                <w:szCs w:val="14"/>
                <w:color w:val="0000EE"/>
                <w:w w:val="99"/>
              </w:rPr>
              <w:t>INCORPORATION OF CERTAIN INFORMATION BY REFERENCE</w:t>
            </w:r>
          </w:p>
        </w:tc>
        <w:tc>
          <w:tcPr>
            <w:tcW w:w="460" w:type="dxa"/>
            <w:vAlign w:val="bottom"/>
            <w:gridSpan w:val="2"/>
          </w:tcPr>
          <w:p>
            <w:pPr>
              <w:spacing w:after="0"/>
              <w:rPr>
                <w:sz w:val="11"/>
                <w:szCs w:val="11"/>
                <w:color w:val="auto"/>
              </w:rPr>
            </w:pPr>
          </w:p>
        </w:tc>
        <w:tc>
          <w:tcPr>
            <w:tcW w:w="6740" w:type="dxa"/>
            <w:vAlign w:val="bottom"/>
          </w:tcPr>
          <w:p>
            <w:pPr>
              <w:jc w:val="center"/>
              <w:ind w:left="6169"/>
              <w:spacing w:after="0" w:line="138" w:lineRule="exact"/>
              <w:rPr>
                <w:sz w:val="20"/>
                <w:szCs w:val="20"/>
                <w:color w:val="auto"/>
              </w:rPr>
            </w:pPr>
            <w:r>
              <w:rPr>
                <w:rFonts w:ascii="Times New Roman" w:cs="Times New Roman" w:eastAsia="Times New Roman" w:hAnsi="Times New Roman"/>
                <w:sz w:val="14"/>
                <w:szCs w:val="14"/>
                <w:color w:val="auto"/>
                <w:w w:val="99"/>
              </w:rPr>
              <w:t>27</w:t>
            </w: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47"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that we filed with the Securities and Exchange Commission (“SEC”). Under this registration statement, the selling stockholders may sell from time to time in one or more offerings the common stock described in this prospectus. We will not receive any proceeds from the sale of common stock by the selling stockholders pursuant to this prospectus, except for cash received upon any exercise of the Warrants, if any.</w:t>
      </w:r>
    </w:p>
    <w:p>
      <w:pPr>
        <w:spacing w:after="0" w:line="1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This prospectus may be supplemented from time to time by one or more prospectus supplements. Such prospectus supplement may also add, update or change information contained in this prospectus. If there is any inconsistency between the information in this prospectus and the applicable prospectus supplement, you must rely on the information in the prospectus supplement. You should carefully read both this prospectus and any applicable prospectus supplement together with additional information described under the heading “Where You Can Find Additional Information” and “Incorporation of Certain Information by Reference” before deciding to invest in the Shares being offered.</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and the selling stockholders have not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these securities are permitted. Persons outside the United States who come into possession of this prospectus must inform themselves about, and observe any restrictions relating to, this offering of our securities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w:t>
      </w:r>
    </w:p>
    <w:p>
      <w:pPr>
        <w:spacing w:after="0" w:line="1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Unless otherwise mentioned or unless the context indicates otherwise, all references in this prospectus to the “Company,” “we,” “us” and “our” refer to the business of Sintx Technologies, Inc., a Delaware corporation, and its consolidated subsidiaries.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This summary highlights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if any, and any related free writing prospectus, and under similar sections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0" w:lineRule="exact"/>
        <w:rPr>
          <w:sz w:val="20"/>
          <w:szCs w:val="20"/>
          <w:color w:val="auto"/>
        </w:rPr>
      </w:pPr>
    </w:p>
    <w:p>
      <w:pPr>
        <w:jc w:val="both"/>
        <w:spacing w:after="0" w:line="174" w:lineRule="exact"/>
        <w:rPr>
          <w:sz w:val="20"/>
          <w:szCs w:val="20"/>
          <w:color w:val="auto"/>
        </w:rPr>
      </w:pPr>
      <w:r>
        <w:rPr>
          <w:rFonts w:ascii="Times New Roman" w:cs="Times New Roman" w:eastAsia="Times New Roman" w:hAnsi="Times New Roman"/>
          <w:sz w:val="14"/>
          <w:szCs w:val="14"/>
          <w:color w:val="auto"/>
        </w:rPr>
        <w:t>SINTX Technologies is an advanced ceramics company formed in December 1996 that develops, manufactures, and commercializes silicon nitride biomaterials, composites, devices, and related technologies for medical and other high-value applications. SINTX provides biomedical solutions for medical devices specializing in silicon nitride (Si</w:t>
      </w:r>
      <w:r>
        <w:rPr>
          <w:rFonts w:ascii="MS PGothic" w:cs="MS PGothic" w:eastAsia="MS PGothic" w:hAnsi="MS PGothic"/>
          <w:sz w:val="14"/>
          <w:szCs w:val="14"/>
          <w:color w:val="auto"/>
        </w:rPr>
        <w:t>₃</w:t>
      </w:r>
      <w:r>
        <w:rPr>
          <w:rFonts w:ascii="Times New Roman" w:cs="Times New Roman" w:eastAsia="Times New Roman" w:hAnsi="Times New Roman"/>
          <w:sz w:val="14"/>
          <w:szCs w:val="14"/>
          <w:color w:val="auto"/>
        </w:rPr>
        <w:t>N</w:t>
      </w:r>
      <w:r>
        <w:rPr>
          <w:rFonts w:ascii="MS PGothic" w:cs="MS PGothic" w:eastAsia="MS PGothic" w:hAnsi="MS PGothic"/>
          <w:sz w:val="14"/>
          <w:szCs w:val="14"/>
          <w:color w:val="auto"/>
        </w:rPr>
        <w:t>₄</w:t>
      </w:r>
      <w:r>
        <w:rPr>
          <w:rFonts w:ascii="Times New Roman" w:cs="Times New Roman" w:eastAsia="Times New Roman" w:hAnsi="Times New Roman"/>
          <w:sz w:val="14"/>
          <w:szCs w:val="14"/>
          <w:color w:val="auto"/>
        </w:rPr>
        <w:t>) for musculoskeletal and antipathogenic applications. We also manufacture parts made from silicon nitride for customers in the electrical, aerospace and other industrial sectors. SINTX is a global leader in the research, development, and manufacturing of silicon nitride, and its products have been implanted in humans since 2008.</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SINTX Core Business</w:t>
      </w:r>
    </w:p>
    <w:p>
      <w:pPr>
        <w:spacing w:after="0" w:line="178" w:lineRule="exact"/>
        <w:rPr>
          <w:sz w:val="20"/>
          <w:szCs w:val="20"/>
          <w:color w:val="auto"/>
        </w:rPr>
      </w:pPr>
    </w:p>
    <w:p>
      <w:pPr>
        <w:jc w:val="both"/>
        <w:spacing w:after="0" w:line="172" w:lineRule="exact"/>
        <w:rPr>
          <w:sz w:val="20"/>
          <w:szCs w:val="20"/>
          <w:color w:val="auto"/>
        </w:rPr>
      </w:pPr>
      <w:r>
        <w:rPr>
          <w:rFonts w:ascii="Times New Roman" w:cs="Times New Roman" w:eastAsia="Times New Roman" w:hAnsi="Times New Roman"/>
          <w:sz w:val="14"/>
          <w:szCs w:val="14"/>
          <w:b w:val="1"/>
          <w:bCs w:val="1"/>
          <w:color w:val="auto"/>
        </w:rPr>
        <w:t>Biomedical Applications</w:t>
      </w:r>
      <w:r>
        <w:rPr>
          <w:rFonts w:ascii="Times New Roman" w:cs="Times New Roman" w:eastAsia="Times New Roman" w:hAnsi="Times New Roman"/>
          <w:sz w:val="14"/>
          <w:szCs w:val="14"/>
          <w:color w:val="auto"/>
        </w:rPr>
        <w:t>: Since its inception, SINTX has focused on medical-grade silicon nitride. SINTX biomedical products have been shown to be biocompatible, bioactive, antipathogenic,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exhibit strong bone affinity. Spinal implants made from SINTX silicon nitride have been successfully implanted in humans since 2008 in the U.S., Europe, South America, and Asia. In October 2025, SINTX received U.S. Food and Drug Administration (FDA) 510(k) clearance for the SiNAPTIC® Foot &amp; Ankle Osteotomy Wedge System, enabling SINTX’s commercial entry into reconstructive foot and ankle surgery in the U.S. In March 2026, a SiNAPTIC wedge manufactured from Si</w:t>
      </w:r>
      <w:r>
        <w:rPr>
          <w:rFonts w:ascii="MS PGothic" w:cs="MS PGothic" w:eastAsia="MS PGothic" w:hAnsi="MS PGothic"/>
          <w:sz w:val="14"/>
          <w:szCs w:val="14"/>
          <w:color w:val="auto"/>
        </w:rPr>
        <w:t>₃</w:t>
      </w:r>
      <w:r>
        <w:rPr>
          <w:rFonts w:ascii="Times New Roman" w:cs="Times New Roman" w:eastAsia="Times New Roman" w:hAnsi="Times New Roman"/>
          <w:sz w:val="14"/>
          <w:szCs w:val="14"/>
          <w:color w:val="auto"/>
        </w:rPr>
        <w:t>N</w:t>
      </w:r>
      <w:r>
        <w:rPr>
          <w:rFonts w:ascii="MS PGothic" w:cs="MS PGothic" w:eastAsia="MS PGothic" w:hAnsi="MS PGothic"/>
          <w:sz w:val="14"/>
          <w:szCs w:val="14"/>
          <w:color w:val="auto"/>
        </w:rPr>
        <w:t>₄</w:t>
      </w:r>
      <w:r>
        <w:rPr>
          <w:rFonts w:ascii="Times New Roman" w:cs="Times New Roman" w:eastAsia="Times New Roman" w:hAnsi="Times New Roman"/>
          <w:sz w:val="14"/>
          <w:szCs w:val="14"/>
          <w:color w:val="auto"/>
        </w:rPr>
        <w:t xml:space="preserve"> was utilized in a reconstructive foot and ankle procedure in the U.S. This established clinical use, together with silicon nitride’s inherent resistance to bacterial adhesion and strong bone affinity, suggests potential suitability for additional orthopedic and fusion-related applications including arthroplasty implants and dental implants.</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Antipathogenic Applications</w:t>
      </w:r>
      <w:r>
        <w:rPr>
          <w:rFonts w:ascii="Times New Roman" w:cs="Times New Roman" w:eastAsia="Times New Roman" w:hAnsi="Times New Roman"/>
          <w:sz w:val="14"/>
          <w:szCs w:val="14"/>
          <w:color w:val="auto"/>
        </w:rPr>
        <w:t>: SINTX believes that by incorporating its unique composition of silicon nitride antipathogenic powder into products such as face masks, drapes, filters, sutures,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wound care devices, it is possible to manufacture surfaces that inactivate pathogens, thereby limiting the spread of infection and disease. We presently manufacture advanced ceramic powders and components in our manufacturing facilities based in Salt Lake City, Utah.</w:t>
      </w:r>
    </w:p>
    <w:p>
      <w:pPr>
        <w:spacing w:after="0" w:line="1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Industrial Applications: </w:t>
      </w:r>
      <w:r>
        <w:rPr>
          <w:rFonts w:ascii="Times New Roman" w:cs="Times New Roman" w:eastAsia="Times New Roman" w:hAnsi="Times New Roman"/>
          <w:sz w:val="14"/>
          <w:szCs w:val="14"/>
          <w:color w:val="auto"/>
        </w:rPr>
        <w:t>SINTX manufactures advanced silicon nitride ceramic components for industrial customers operating in demanding technical and high-performance environments.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Company’s silicon nitride materials are utilized in applications requiring exceptional mechanical strength, thermal stability, wear resistance, and corrosion resistance. Industrial applications have become an increasingly significant component of the Company’s commercial activities, with SINTX collaborating with industrial partners to develop precision-engineered ceramic solutions across multiple end markets. The Company believes its expertise in silicon nitride processing, advanced manufacturing, and materials science positions SINTX to support continued growth in industrial applications.</w:t>
      </w:r>
    </w:p>
    <w:p>
      <w:pPr>
        <w:spacing w:after="0" w:line="1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We presently manufacture advanced ceramic powders and components in our manufacturing facilities based in Salt Lake City, Utah. The SINTX Salt Lake City facility is registered with the FDA, is cGMP and ANVISA RDC 665 compliant, as well as being ISO 9001:2015, ISO 13485:2016 certified, and AS9100D certified. The Company’s products are primarily sold in the United States.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Our headquarters is located at 1885 West 2100 South, Salt Lake City, Utah 84119, and our telephone number is (801) 839-3500. We maintain a website at https://www.sintx.com. Information on the website is not incorporated by reference and is not a part of this prospectus.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This prospectus may include trademarks, service marks and trade names owned by us or other companies. All trademarks, service marks and trade names included herein are the property of their respective owners.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Smaller Reporting Company Status</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5" w:name="page6"/>
    <w:bookmarkEnd w:id="5"/>
    <w:p>
      <w:pPr>
        <w:spacing w:after="0" w:line="341" w:lineRule="exact"/>
        <w:rPr>
          <w:sz w:val="20"/>
          <w:szCs w:val="20"/>
          <w:color w:val="auto"/>
        </w:rPr>
      </w:pPr>
    </w:p>
    <w:p>
      <w:pPr>
        <w:ind w:right="37"/>
        <w:spacing w:after="0" w:line="286" w:lineRule="auto"/>
        <w:rPr>
          <w:sz w:val="20"/>
          <w:szCs w:val="20"/>
          <w:color w:val="auto"/>
        </w:rPr>
      </w:pPr>
      <w:r>
        <w:rPr>
          <w:rFonts w:ascii="Times New Roman" w:cs="Times New Roman" w:eastAsia="Times New Roman" w:hAnsi="Times New Roman"/>
          <w:sz w:val="14"/>
          <w:szCs w:val="14"/>
          <w:color w:val="auto"/>
        </w:rPr>
        <w:t>Shares of common stock offered by the selling stockholders</w:t>
      </w:r>
    </w:p>
    <w:p>
      <w:pPr>
        <w:spacing w:after="0" w:line="20" w:lineRule="exact"/>
        <w:rPr>
          <w:sz w:val="20"/>
          <w:szCs w:val="20"/>
          <w:color w:val="auto"/>
        </w:rPr>
      </w:pPr>
      <w:r>
        <w:rPr>
          <w:sz w:val="20"/>
          <w:szCs w:val="20"/>
          <w:color w:val="auto"/>
        </w:rPr>
        <w:br w:type="column"/>
      </w:r>
    </w:p>
    <w:p>
      <w:pPr>
        <w:ind w:left="1843"/>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8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color w:val="auto"/>
        </w:rPr>
        <w:t>We are registering the resale by the selling stockholders of an aggregate of 5,819,323 Shares, consisting of (i) 1,882,846 Common Shares;</w:t>
      </w:r>
    </w:p>
    <w:p>
      <w:pPr>
        <w:spacing w:after="0" w:line="23" w:lineRule="exact"/>
        <w:rPr>
          <w:sz w:val="20"/>
          <w:szCs w:val="20"/>
          <w:color w:val="auto"/>
        </w:rPr>
      </w:pPr>
    </w:p>
    <w:p>
      <w:pPr>
        <w:jc w:val="both"/>
        <w:ind w:left="3" w:hanging="3"/>
        <w:spacing w:after="0" w:line="259" w:lineRule="auto"/>
        <w:tabs>
          <w:tab w:leader="none" w:pos="2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1,882,846 Class A Warrant Shares issuable upon the exercise of the Class A Warrants, (iii) 1,882,846 Class B Warrant Shares issuable upon the exercise of the Class B Warrants, (iv) 78,212 Compensation Shares, and (v) 92,573 Placement Agent Warrant Shares issuable upon the exercise of the Placement Agent Warrants.</w:t>
      </w:r>
    </w:p>
    <w:p>
      <w:pPr>
        <w:spacing w:after="0" w:line="143" w:lineRule="exact"/>
        <w:rPr>
          <w:sz w:val="20"/>
          <w:szCs w:val="20"/>
          <w:color w:val="auto"/>
        </w:rPr>
      </w:pPr>
    </w:p>
    <w:p>
      <w:pPr>
        <w:sectPr>
          <w:pgSz w:w="11900" w:h="16838" w:orient="portrait"/>
          <w:cols w:equalWidth="0" w:num="2">
            <w:col w:w="2677" w:space="720"/>
            <w:col w:w="7883"/>
          </w:cols>
          <w:pgMar w:left="300" w:top="568" w:right="319" w:bottom="1440" w:gutter="0" w:footer="0" w:header="0"/>
        </w:sectPr>
      </w:pPr>
    </w:p>
    <w:p>
      <w:pPr>
        <w:spacing w:after="0"/>
        <w:tabs>
          <w:tab w:leader="none" w:pos="3380" w:val="left"/>
        </w:tabs>
        <w:rPr>
          <w:sz w:val="20"/>
          <w:szCs w:val="20"/>
          <w:color w:val="auto"/>
        </w:rPr>
      </w:pPr>
      <w:r>
        <w:rPr>
          <w:rFonts w:ascii="Times New Roman" w:cs="Times New Roman" w:eastAsia="Times New Roman" w:hAnsi="Times New Roman"/>
          <w:sz w:val="14"/>
          <w:szCs w:val="14"/>
          <w:color w:val="auto"/>
        </w:rPr>
        <w:t>Common stock outstanding before the offering</w:t>
      </w:r>
      <w:r>
        <w:rPr>
          <w:sz w:val="20"/>
          <w:szCs w:val="20"/>
          <w:color w:val="auto"/>
        </w:rPr>
        <w:tab/>
      </w:r>
      <w:r>
        <w:rPr>
          <w:rFonts w:ascii="Times New Roman" w:cs="Times New Roman" w:eastAsia="Times New Roman" w:hAnsi="Times New Roman"/>
          <w:sz w:val="13"/>
          <w:szCs w:val="13"/>
          <w:color w:val="auto"/>
        </w:rPr>
        <w:t>6,357,630 shares.</w:t>
      </w:r>
    </w:p>
    <w:p>
      <w:pPr>
        <w:spacing w:after="0" w:line="178"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4"/>
          <w:szCs w:val="14"/>
          <w:color w:val="auto"/>
        </w:rPr>
        <w:t>Common stock outstanding after the offering</w:t>
      </w:r>
      <w:r>
        <w:rPr>
          <w:sz w:val="20"/>
          <w:szCs w:val="20"/>
          <w:color w:val="auto"/>
        </w:rPr>
        <w:tab/>
      </w:r>
      <w:r>
        <w:rPr>
          <w:rFonts w:ascii="Times New Roman" w:cs="Times New Roman" w:eastAsia="Times New Roman" w:hAnsi="Times New Roman"/>
          <w:sz w:val="14"/>
          <w:szCs w:val="14"/>
          <w:color w:val="auto"/>
        </w:rPr>
        <w:t>10,215,895 shares, assuming exercise of all Warrants.</w:t>
      </w:r>
    </w:p>
    <w:p>
      <w:pPr>
        <w:spacing w:after="0" w:line="178"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4"/>
          <w:szCs w:val="14"/>
          <w:color w:val="auto"/>
        </w:rPr>
        <w:t>Terms of the offering</w:t>
      </w:r>
      <w:r>
        <w:rPr>
          <w:sz w:val="20"/>
          <w:szCs w:val="20"/>
          <w:color w:val="auto"/>
        </w:rPr>
        <w:tab/>
      </w:r>
      <w:r>
        <w:rPr>
          <w:rFonts w:ascii="Times New Roman" w:cs="Times New Roman" w:eastAsia="Times New Roman" w:hAnsi="Times New Roman"/>
          <w:sz w:val="14"/>
          <w:szCs w:val="14"/>
          <w:color w:val="auto"/>
        </w:rPr>
        <w:t>Each selling stockholder will determine when and how it will sell the Shares offered in this prospectus, as described in the “Plan of</w:t>
      </w:r>
    </w:p>
    <w:p>
      <w:pPr>
        <w:spacing w:after="0" w:line="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Distribution” on page 25.</w:t>
      </w:r>
    </w:p>
    <w:p>
      <w:pPr>
        <w:spacing w:after="0" w:line="164"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4"/>
          <w:szCs w:val="14"/>
          <w:color w:val="auto"/>
        </w:rPr>
        <w:t>Use of proceeds</w:t>
      </w:r>
      <w:r>
        <w:rPr>
          <w:sz w:val="20"/>
          <w:szCs w:val="20"/>
          <w:color w:val="auto"/>
        </w:rPr>
        <w:tab/>
      </w:r>
      <w:r>
        <w:rPr>
          <w:rFonts w:ascii="Times New Roman" w:cs="Times New Roman" w:eastAsia="Times New Roman" w:hAnsi="Times New Roman"/>
          <w:sz w:val="14"/>
          <w:szCs w:val="14"/>
          <w:color w:val="auto"/>
        </w:rPr>
        <w:t>We will not receive any proceeds from the sale of the Shares. In the event the selling stockholders exercise all of the Warrants for cash, we</w:t>
      </w:r>
    </w:p>
    <w:p>
      <w:pPr>
        <w:spacing w:after="0" w:line="23" w:lineRule="exact"/>
        <w:rPr>
          <w:sz w:val="20"/>
          <w:szCs w:val="20"/>
          <w:color w:val="auto"/>
        </w:rPr>
      </w:pPr>
    </w:p>
    <w:p>
      <w:pPr>
        <w:ind w:left="3400"/>
        <w:spacing w:after="0" w:line="265" w:lineRule="auto"/>
        <w:rPr>
          <w:sz w:val="20"/>
          <w:szCs w:val="20"/>
          <w:color w:val="auto"/>
        </w:rPr>
      </w:pPr>
      <w:r>
        <w:rPr>
          <w:rFonts w:ascii="Times New Roman" w:cs="Times New Roman" w:eastAsia="Times New Roman" w:hAnsi="Times New Roman"/>
          <w:sz w:val="14"/>
          <w:szCs w:val="14"/>
          <w:color w:val="auto"/>
        </w:rPr>
        <w:t>will receive an aggregate of approximately $8.3 million of gross proceeds. Any proceeds that we receive from the exercise of such Warrants will be used for working capital and general corporate purposes.</w:t>
      </w:r>
    </w:p>
    <w:p>
      <w:pPr>
        <w:spacing w:after="0" w:line="139"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4"/>
          <w:szCs w:val="14"/>
          <w:color w:val="auto"/>
        </w:rPr>
        <w:t>Risk Factors</w:t>
      </w:r>
      <w:r>
        <w:rPr>
          <w:sz w:val="20"/>
          <w:szCs w:val="20"/>
          <w:color w:val="auto"/>
        </w:rPr>
        <w:tab/>
      </w:r>
      <w:r>
        <w:rPr>
          <w:rFonts w:ascii="Times New Roman" w:cs="Times New Roman" w:eastAsia="Times New Roman" w:hAnsi="Times New Roman"/>
          <w:sz w:val="14"/>
          <w:szCs w:val="14"/>
          <w:color w:val="auto"/>
        </w:rPr>
        <w:t>You should read and consider the information set forth under the heading “Risk Factors” on page 5 of this prospectus, together with the</w:t>
      </w:r>
    </w:p>
    <w:p>
      <w:pPr>
        <w:spacing w:after="0" w:line="23" w:lineRule="exact"/>
        <w:rPr>
          <w:sz w:val="20"/>
          <w:szCs w:val="20"/>
          <w:color w:val="auto"/>
        </w:rPr>
      </w:pPr>
    </w:p>
    <w:p>
      <w:pPr>
        <w:ind w:left="3400"/>
        <w:spacing w:after="0" w:line="265" w:lineRule="auto"/>
        <w:rPr>
          <w:sz w:val="20"/>
          <w:szCs w:val="20"/>
          <w:color w:val="auto"/>
        </w:rPr>
      </w:pPr>
      <w:r>
        <w:rPr>
          <w:rFonts w:ascii="Times New Roman" w:cs="Times New Roman" w:eastAsia="Times New Roman" w:hAnsi="Times New Roman"/>
          <w:sz w:val="14"/>
          <w:szCs w:val="14"/>
          <w:color w:val="auto"/>
        </w:rPr>
        <w:t>risk factors and cautionary statements described in our Form 10-K for the fiscal year ended December 31, 2025 and any subsequent Quarterly Reports on Form 10-Q, incorporated by reference herein, before deciding to invest in the Shares.</w:t>
      </w:r>
    </w:p>
    <w:p>
      <w:pPr>
        <w:spacing w:after="0" w:line="139"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4"/>
          <w:szCs w:val="14"/>
          <w:color w:val="auto"/>
        </w:rPr>
        <w:t>Nasdaq Capital Market symbol</w:t>
      </w:r>
      <w:r>
        <w:rPr>
          <w:sz w:val="20"/>
          <w:szCs w:val="20"/>
          <w:color w:val="auto"/>
        </w:rPr>
        <w:tab/>
      </w:r>
      <w:r>
        <w:rPr>
          <w:rFonts w:ascii="Times New Roman" w:cs="Times New Roman" w:eastAsia="Times New Roman" w:hAnsi="Times New Roman"/>
          <w:sz w:val="14"/>
          <w:szCs w:val="14"/>
          <w:color w:val="auto"/>
        </w:rPr>
        <w:t>Our common stock is listed on the Nasdaq Capital Market under the symbol “SINT.”</w:t>
      </w:r>
    </w:p>
    <w:p>
      <w:pPr>
        <w:spacing w:after="0" w:line="17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The number of shares of common stock to be outstanding after this offering is based on 6,357,630 shares of common stock outstanding as of June 22, 2026 and excludes, in each case as of March 31, 2026:</w:t>
      </w:r>
    </w:p>
    <w:p>
      <w:pPr>
        <w:spacing w:after="0" w:line="125" w:lineRule="exact"/>
        <w:rPr>
          <w:sz w:val="20"/>
          <w:szCs w:val="20"/>
          <w:color w:val="auto"/>
        </w:rPr>
      </w:pPr>
    </w:p>
    <w:p>
      <w:pPr>
        <w:ind w:left="520" w:hanging="261"/>
        <w:spacing w:after="0" w:line="263"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170,026 shares of common stock issuable upon the exercise of outstanding options at a weighted average exercise price of $6.65 per share and 785,276 shares of common stock issuable upon the vesting of outstanding restricted stock units granted under our equity incentive plans;</w:t>
      </w:r>
    </w:p>
    <w:p>
      <w:pPr>
        <w:ind w:left="520" w:hanging="261"/>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2,609,259 shares of common stock issuable upon the exercise of outstanding warrants, excluding the Warrants;</w:t>
      </w:r>
    </w:p>
    <w:p>
      <w:pPr>
        <w:spacing w:after="0" w:line="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7,385 shares of our common stock issuable upon the conversion of 19 shares of series B convertible preferred stock outstanding;</w:t>
      </w:r>
    </w:p>
    <w:p>
      <w:pPr>
        <w:spacing w:after="0" w:line="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shares of our common stock issuable upon the conversion of 50 shares of series C convertible preferred stock outstanding; and</w:t>
      </w:r>
    </w:p>
    <w:p>
      <w:pPr>
        <w:spacing w:after="0" w:line="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 shares of common stock reserved for issuance upon conversion of 180 shares of the Series D Preferred Stock outstanding.</w:t>
      </w:r>
    </w:p>
    <w:p>
      <w:pPr>
        <w:spacing w:after="0" w:line="1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Unless otherwise indicated, the information in this prospectus, including the number of shares outstanding after this offering, does not reflect (i) any issuance, exercise, vesting, expiration, or forfeiture of any additional equity awards under our incentive plans that occurred after March 31, 2026 or (ii) the effect of the “full-ratchet” anti-dilution adjustment of the conversion price of our outstanding Series B Convertible Preferred Stock by this offering.</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prospectus and the documents we have filed with the SEC that are incorporated by reference contain “forward-looking statements” within the meaning of Section 27A of the Securities Act of 1933, as amended (the “Securities Act”), and Section 21E of the Exchange Act, which involve risks and uncertainties.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provide current expectations of future events based on certain assumptions and include any statement that does not directly relate to any historical or current fact. Forward-looking statements are based on our management’s current beliefs, expectations and assumptions about future events, conditions and results and on information currently available to us. Discussions containing these forward-looking statements may be found, among other places, in the Sections of this prospectus entitled “Prospectus Summary” and “Risk Factors.”</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“anticipates,” “believes,” “could,” “estimates,” “expects,” “may,” “plans,” “potential” “predicts,” “projects,” “should,” “will,” “would,” and similar expressions intended to identify forward-looking statements. These statements reflect our current views with respect to future events and are based on assumptions and are subject to risks and uncertainties. Given these assumptions, risks and uncertainties, you should not place undue reliance on these forward-looking statements. We discuss in greater detail many of these risks under the heading “Risk Factors” contained in the this prospectus, in any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In addition, past financial and/or operating performance is not necessarily a reliable indicator of future performance and you should not use our historical performance to anticipate results or future period trends. We can give no assurances that any of the events anticipated by the forward-looking statements will occur or, if any of them do, what impact they will have on our results of operations and financial condition.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w:t>
      </w:r>
    </w:p>
    <w:p>
      <w:pPr>
        <w:spacing w:after="0" w:line="1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You should read this prospectus, any applicable prospectus supplement, together with the documents we have filed with the SEC that are incorporated by reference and any free writing prospectuses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i w:val="1"/>
          <w:iCs w:val="1"/>
          <w:color w:val="auto"/>
        </w:rPr>
        <w:t>Investing in our securities involves a high degree of risk. Before deciding whether to invest in our securities, you should consider carefully the risks and uncertainties discussed in this section and under the sections titled Risk Factors contained in our most recent Annual Report on Form 10-K and in our subsequent Quarterly Reports on Form 10-Q for the quarterly periods ended subsequent to our filing of such Annual Report on Form 10-K, as well as any amendments or updates to our risk factors reflected in subsequent filings with the SEC, which are incorporated by reference into this prospectus, together with other information in this prospectus, the documents incorporated by reference, any prospectus supplement and any free writing prospectus that we may authorize.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additional risks and uncertainties actually occur, our business, financial condition, results of operations and cash flow could be materially and adversely affected. In that case, the trading price of our common stock could decline and you might lose all or part of your investment. For more information about our SEC filings, please see “Where You Can Find Additional Information” and “Incorporation of Certain Information by Reference.” If any of the risks discussed in the foregoing documents were to occur, our business, financial condition, results of operations and prospects could be materially adversely affected. Please also read carefully the section titled “Special Note Regarding Forward-Looking Statements.”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Strategy</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You should read and consider risk factors specific to our business before making an investment decision. Those risks are described in Item 1A “Risk Factors” in our annual report on Form 10-K for the fiscal year ended December 31, 2025, and in other documents incorporated by reference into this prospectus. Please be aware that additional risks and uncertainties not currently known to us or that we currently deem to be immaterial could also materially and adversely affect our business, results of operations, financial condition, cash flows or prospects.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17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 sale or availability for sale of Common Shares, Compensation Shares or shares issuable upon exercise of the Warrants may depress the price of our common stock and encourage short sales by third parties, which could further depress the price of our common stock.</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To the extent that the selling stockholders sell the Common Shares, Compensation Shares, or shares of our common stock issued upon exercise of the Warrants, the market price of such shares may decrease due to the additional selling pressure in the market. In addition, the dilution from issuances of such shares may cause stockholders to sell their shares of our common stock, which could further contribute to any decline in the price of our common stock. Any downward pressure on the price of our common stock caused by the sale or potential sale of such shares could encourage short sales by third parties. Such sales could place downward pressure on the price of our common stock by increasing the number of shares of our common stock being sold, which could further contribute to any decline in the market price of our common stock.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and issuances of our common stock or other securities might result in significant dilution and could cause the price of our common stock to decline.</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raise capital, we may sell common stock, convertible securities or other equity securities in one or more transactions, at prices and in a manner we determine from time to time.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8" w:name="page9"/>
    <w:bookmarkEnd w:id="8"/>
    <w:p>
      <w:pPr>
        <w:jc w:val="both"/>
        <w:spacing w:after="0" w:line="286" w:lineRule="auto"/>
        <w:rPr>
          <w:sz w:val="20"/>
          <w:szCs w:val="20"/>
          <w:color w:val="auto"/>
        </w:rPr>
      </w:pPr>
      <w:r>
        <w:rPr>
          <w:rFonts w:ascii="Times New Roman" w:cs="Times New Roman" w:eastAsia="Times New Roman" w:hAnsi="Times New Roman"/>
          <w:sz w:val="14"/>
          <w:szCs w:val="14"/>
          <w:color w:val="auto"/>
        </w:rPr>
        <w:t>We cannot predict what effect, if any, sales of shares of our common stock in the public market or the availability of shares for sale will have on the market price of our common stock. However, future sales of substantial amounts of our common stock in the public market, or the perception that such sales may occur, could adversely affect the market price of our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 will have broad discretion as to the use of the proceeds from the exercise of the Warrants and uses may not improve our financial condition or market value.</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We will not receive any proceeds from the sale of the Shares by the selling stockholders. In the event the selling stockholders exercise all of the Warrants in cash, we may receive an aggregate of approximately $8.3 million of gross proceeds. Any proceeds that we receive from the exercise of such Warrants will be used for working capital and general corporate purposes.</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Because we have not designated the amount of proceeds from the exercise of the Warrants to be used for any particular purpose, our management will have broad discretion as to the application of such proceeds and could use them for purposes other than those contemplated hereby. Our management may use the proceeds for corporate purposes that may not improve our financial condition or market value.</w:t>
      </w:r>
    </w:p>
    <w:p>
      <w:pPr>
        <w:spacing w:after="0" w:line="13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We have received a notice from Nasdaq that we are not in compliance with Nasdaq’s minimum stockholders’ equity requirement. If we are unable to regain compliance with Nasdaq’s continued listing standards, our common stock may be delisted from the Nasdaq Capital Market, which could materially impair the liquidity and trading price of our common stock.</w:t>
      </w:r>
    </w:p>
    <w:p>
      <w:pPr>
        <w:spacing w:after="0" w:line="1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May 22, 2026, we received a notice from the Listing Qualifications Department of The Nasdaq Stock Market LLC indicating that we were not in compliance with Nasdaq Listing Rule 5550(b)(1), which requires companies listed on the Nasdaq Capital Market to maintain a minimum of $2.5 million in stockholders’ equity for continued listing. The notice stated that, based on our Quarterly Report on Form 10-Q for the quarter ended March 31, 2026, we reported stockholders’ equity of $904,000 and did not satisfy the alternative continued listing standards based on market value of listed securities or net income from continuing operations.</w:t>
      </w:r>
    </w:p>
    <w:p>
      <w:pPr>
        <w:spacing w:after="0" w:line="1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Under Nasdaq rules, we have 45 calendar days from the date of the notice, or until July 6, 2026, to submit a plan to regain compliance. If Nasdaq accepts our plan, Nasdaq may grant us an extension of up to 180 calendar days from the date of the notice to evidence compliance. There can be no assurance that Nasdaq will accept our plan, that Nasdaq will grant any extension, that we will be able to regain compliance within any extension period, or that we will be able to maintain compliance with Nasdaq’s continued listing requirements in the future.</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Nasdaq determines to delist our common stock, we would have the right to appeal such determination to a Nasdaq Hearings Panel, but there can be no assurance that any appeal would be successful. A delisting of our common stock from the Nasdaq Capital Market could materially reduce the liquidity of our common stock, impair our ability to raise additional capital, adversely affect the market price of our common stock, reduce the number of investors willing to hold or acquire our common stock, limit the availability of market quotations for our common stock, and negatively affect our reputation and business prospects. A delisting could also adversely affect the ability of the selling stockholders to resell the shares covered by this prospectus and could further increase the volatility of our common stock.</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0"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We will not receive any of the proceeds from the sale or other disposition of the Shares offered pursuant to this prospectus. Upon any exercise of the Warrants for cash, the applicable selling stockholder would pay us the exercise price set forth in the applicable Warrants, totaling approximately $8.3 million.</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Each Class A Warrant has an exercise price equal to $2.14 per share, and if all 1,882,846 Class A Warrant Shares registered hereunder are exercised on a cash basis, we will receive proceeds of approximately $4.03 million. Each Class B Warrant has an exercise price equal to $2.14 per share, and if all 1,882,846 Class B Warrant Shares registered hereunder are exercised on a cash basis, we will receive proceeds of approximately $4.03 million. Each Placement Agent Warrant has an exercise price equal to $2.9875 per share, and if all 92,573 Placement Agent Warrant Shares registered hereunder are exercised on a cash basis, we will receive proceeds of approximately $276,000 The Warrants are exercisable on a cashless basis. If any of the Warrants are exercised on a cashless basis, we would not receive any cash payment from the applicable selling stockholder upon any such exercise.</w:t>
      </w:r>
    </w:p>
    <w:p>
      <w:pPr>
        <w:spacing w:after="0" w:line="14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 xml:space="preserve">We intend to use any proceeds from the cash exercise of any Warrants for working capital and general corporate purposes. See “Risks Related to this Offering </w:t>
      </w:r>
      <w:r>
        <w:rPr>
          <w:rFonts w:ascii="Times New Roman" w:cs="Times New Roman" w:eastAsia="Times New Roman" w:hAnsi="Times New Roman"/>
          <w:sz w:val="14"/>
          <w:szCs w:val="14"/>
          <w:i w:val="1"/>
          <w:iCs w:val="1"/>
          <w:color w:val="auto"/>
        </w:rPr>
        <w:t>- Management will have broad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discretion as to the use of the proceeds from the offering and uses may not improve our financial condition or market value.”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bear the out-of-pocket costs, expenses and fees incurred in connection with the registration of shares of our common stock to be sold by the selling stockholders pursuant to this prospectus.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than registration expenses, the selling stockholders will bear their own broker or similar commissions payable with respect to sales of the Shares.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THE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selling stockholders are offering up to an aggregate of 5,819,323 Shares of our common stock, issued by us in connection with the Private Placement consisting of (i) 1,882,846 Common Shares;</w:t>
      </w:r>
    </w:p>
    <w:p>
      <w:pPr>
        <w:spacing w:after="0" w:line="23" w:lineRule="exact"/>
        <w:rPr>
          <w:sz w:val="20"/>
          <w:szCs w:val="20"/>
          <w:color w:val="auto"/>
        </w:rPr>
      </w:pPr>
    </w:p>
    <w:p>
      <w:pPr>
        <w:ind w:firstLine="5"/>
        <w:spacing w:after="0" w:line="265" w:lineRule="auto"/>
        <w:tabs>
          <w:tab w:leader="none" w:pos="22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1,882,846 Class A Warrant Shares issuable upon the exercise of the Class A Warrants, (iii) 1,882,846 Class B Warrant Shares issuable upon the exercise of the Class B Warrants, (iv) 78,212 Compensation Shares, and (v) 92,573 Placement Agent Warrant Shares issuable upon the exercise of the Placement Agent Warrants.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following description summarizes the material terms and provisions of our capital stock, including the common stock the selling stockholders may offer under this prospectus. The following description of our capital stock does not purport to be complete and is subject to, and qualified in its entirety by, our amended restated certificate of incorporation (the “Amended and Restated Certificate of Incorporation”) and amended and restated bylaws (the “Amended and Restated Bylaws”), which are incorporated by reference into this prospectus. We urge you to read each of the Amended and Restated Certificate of Incorporation and the Amended and Restated Bylaws described herein in their entirety for a complete description of the rights and preferences of our securities. The terms of our capital stock may also be affected by Delaware law. Therefore, you should carefully consider the actual provisions of these laws.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Our authorized capital stock consists of two hundred and fifty million (250,000,000) shares of common stock, $0.01 par value per share, and one hundred thirty million (130,000,000) shares of preferred stock, $0.01 par value per share.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June 22, 2026, there were 6,357,630 shares of common stock outstanding. Each outstanding share of common stock entitles the holder thereof to one vote per share on all matters. Our Amended and Restated Bylaws provide that any vacancy occurring in the Board of Directors may be filled by the affirmative vote of a majority of the remaining directors. Stockholders do not have preemptive rights to purchase shares in any future issuance of our common stock. In the event of our liquidation, dissolution or winding up, holders of our common stock are entitled to receive, ratably, the net assets available to stockholders after payment of all creditors.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Holders of our common stock are entitled to one vote for each share held of record on all matters submitted to a vote of the stockholders, and do not have cumulative voting rights. Accordingly, the holders of a majority of the shares of our common stock entitled to vote can elect all directors standing for election. Subject to preferences that may be applicable to any outstanding shares of preferred stock, holders of our common stock are entitled to receive ratably such dividends, if any, as may be declared from time to time by our Board of Directors out of funds legally available for dividend payments. All outstanding shares of our common stock are fully paid and nonassessable, and any shares of our common stock to be sold pursuant to this prospectus will be fully paid and nonassessable. The holders of common stock have no preferences or rights of conversion, exchange, pre-emption, or other subscription rights. There are no redemption or sinking fund provisions applicable to our common stock. In the event of any liquidation, dissolution or winding-up of our affairs, holders of our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transfer agent and registrar for our common stock is Equinity Trust Company, LLC. The transfer agent and the registrar’s address is 48 Wall St., Floor 23, New York, NY 10005. Our common stock is listed on The Nasdaq Capital Market under the symbol “SINT.”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Board of Directors has the authority under our Amended and Restated Certificate of Incorporation, without further action by our stockholders, to issue up to 130,000,000 shares of preferred stock in one or more series, to establish from time to time the number of shares to be included in each such series, to fix the rights, preferences, privileges and restrictions of the shares of each wholly unissued series, including dividend rights, conversion rights, voting rights, terms of redemption, liquidation preference and sinking fund terms, and to increase or decrease the number of shares of any such series (but not below the number of shares of such series then outstanding).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11" w:name="page12"/>
    <w:bookmarkEnd w:id="11"/>
    <w:p>
      <w:pPr>
        <w:jc w:val="both"/>
        <w:spacing w:after="0" w:line="264" w:lineRule="auto"/>
        <w:rPr>
          <w:sz w:val="20"/>
          <w:szCs w:val="20"/>
          <w:color w:val="auto"/>
        </w:rPr>
      </w:pPr>
      <w:r>
        <w:rPr>
          <w:rFonts w:ascii="Times New Roman" w:cs="Times New Roman" w:eastAsia="Times New Roman" w:hAnsi="Times New Roman"/>
          <w:sz w:val="14"/>
          <w:szCs w:val="14"/>
          <w:color w:val="auto"/>
        </w:rPr>
        <w:t>Our Board of Directors may authorize the issuance of preferred stock with voting or conversion rights that could have the effect of restricting dividends on our common stock, diluting the voting power of our common stock, impairing the liquidation rights of our common stock or otherwise adversely affecting the rights of holders of our common stock. The issuance of preferred stock, while providing flexibility in connection with possible acquisitions and other corporate purposes, could, among other things, have the effect of delaying, deferring or preventing a change of control and may adversely affect the market price of our common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Series B Preferred Stock</w:t>
      </w:r>
      <w:r>
        <w:rPr>
          <w:rFonts w:ascii="Times New Roman" w:cs="Times New Roman" w:eastAsia="Times New Roman" w:hAnsi="Times New Roman"/>
          <w:sz w:val="14"/>
          <w:szCs w:val="14"/>
          <w:color w:val="auto"/>
        </w:rPr>
        <w:t>.</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Our Board of Directors designated 15,000 shares of our preferred stock as Series B Preferred Stock. As of March 31, 2026 there were 19 shares of Series B Preferred stock outstanding which are convertible into 7,385 shares of our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Conversion</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Each share of Series B Preferred Stock is convertible into shares of our common stock at any time at the holder’s option at the Conversion Price described below. We may not effect any conversion of Series B Preferred Stock, with certain exceptions, to the extent that, after giving effect to an attempted conversion, the holder of Series B Preferred Stock (together with such holder’s affiliates, and any persons acting as a group together with such holder or any of such holder’s affiliates) would beneficially own a number of shares of common stock in excess of 4.99% (or, at the election of the holder, 9.99%) of the shares of our common stock then outstanding after giving effect to such conversion, referred to as the Preferred Stock Beneficial Ownership Limitation; provided, however, that upon notice to the Company, the holder may increase or decrease the Preferred Stock Beneficial Ownership Limitation, provided that in no event may the Preferred Stock Beneficial Ownership Limitation exceed 9.99% and any increase in the Preferred Stock Beneficial Ownership Limitation will not be effective until 61 days following notice of such increase from the holder to us.</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Subject to certain ownership limitations as described below and certain equity conditions being met, if during any 30 consecutive trading days, the volume weighted average price of our common stock exceeds $13,060.80 and the daily dollar trading volume during such period exceeds $500,000 per trading day, we have the right to force the conversion of the Series B Preferred Stock into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Conversion Price.</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Series B Preferred Stock is convertible into shares of common stock by dividing the stated value of the Series B Preferred Stock ($1,100) by $2.83 (the “Conversion Price”). The Conversion Price is subject to adjustment for stock splits, stock dividends, and distributions of common stock or securities convertible, exercisable or exchangeable for common stock, subdivisions, combinations and reclassifications.</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Subject to certain exclusions contained in the certificate of designation, if the Company in any manner grants or sells any rights, warrants or options and the lowest price per share for which one share of common stock is at any time issuable upon the exercise of any such option or upon conversion, exercise or exchange of any common stock Equivalents (as defined in the certificate of designation) issuable upon exercise of any such option, exercise or exchange of any common stock Equivalent issuable upon the exercise of such option or otherwise pursuant to the terms thereof is less than the Conversion Price, then such share of common stock will be deemed to be outstanding and to have been issued and sold by the Company at the time of the granting or sale of such option for such price per share. For purposes of this paragraph only, the “lowest price per share for which one share of common stock is issuable upon the exercise of any such options or upon conversion, exercise or exchange of any common stock Equivalent issuable upon exercise of any such option or otherwise pursuant to the terms thereof” will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common stock Equivalents issuable upon exercise of such option or otherwise pursuant to the terms thereof and (y) the lowest exercise price set forth in such option for which one share of common stock is issuable upon the exercise of any such options or upon conversion, exercise or exchange of any common stock Equivalents issuable upon exercise of any such option or otherwise pursuant to the terms thereof. Except as contemplated by the terms of the certificate of designation, no further adjustment of the Conversion Price will be made upon the actual issuance of such shares of common stock or of such convertible securities upon the exercise of such options or otherwise pursuant to the terms of or upon the actual issuance of such common stock Equivalents.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0" w:right="319" w:bottom="1440" w:gutter="0" w:footer="0" w:header="0"/>
        </w:sectPr>
      </w:pPr>
    </w:p>
    <w:bookmarkStart w:id="12" w:name="page13"/>
    <w:bookmarkEnd w:id="12"/>
    <w:p>
      <w:pPr>
        <w:jc w:val="both"/>
        <w:spacing w:after="0" w:line="255" w:lineRule="auto"/>
        <w:rPr>
          <w:sz w:val="20"/>
          <w:szCs w:val="20"/>
          <w:color w:val="auto"/>
        </w:rPr>
      </w:pPr>
      <w:r>
        <w:rPr>
          <w:rFonts w:ascii="Times New Roman" w:cs="Times New Roman" w:eastAsia="Times New Roman" w:hAnsi="Times New Roman"/>
          <w:sz w:val="14"/>
          <w:szCs w:val="14"/>
          <w:color w:val="auto"/>
        </w:rPr>
        <w:t>Subject to certain exclusions contained in the certificate of designation, if the Company in any manner issues or sells any common stock Equivalents and the lowest price per share for which one share of common stock is at any time issuable upon the conversion, exercise or exchange thereof or otherwise pursuant to the terms thereof is less than the Conversion Price, then such share of common stock will be deemed to be outstanding and to have been issued and sold by the Company at the time of the issuance or sale of such convertible securities for such price per share. For purposes of this paragraph only, the “lowest price per share for which one share of common stock is issuable upon the conversion, exercise or exchange thereof or otherwise pursuant to the terms thereof” will be equal to (1) the lower of  (x) the sum of the lowest amounts of consideration (if any) received or receivable by the Company with respect to one share of common stock upon the issuance or sale of the common stock Equivalent and upon conversion, exercise or exchange of such convertible security or otherwise pursuant to the terms thereof and (y) the lowest conversion price set forth in such convertible security for which one share of common stock is issuable upon conversion, exercise or exchange thereof or otherwise pursuant to the terms thereof minus (2) the sum of all amounts paid or payable to the holder of such common stock Equivalent (or any other person) upon the issuance or sale of such common stock Equivalent plus the value of any other consideration received or receivable by, or benefit conferred on, the holder of such common stock Equivalent (or any other person). Except as contemplated by the terms of the certificate of designation, no further adjustment of the Conversion Price will be made upon the actual issuance of such shares of common stock upon conversion, exercise or exchange of such common stock Equivalents or otherwise pursuant to the terms thereof, and if any such issuance or sale of such common stock Equivalents is made upon exercise of any options for which adjustment of the Conversion Price has been or is to be made, except as contemplated by the terms of the certificate of designation, no further adjustment of the Conversion Price will be made by reason of such issuance or sale.</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stock dividends, splits or combination of outstanding common stock) the Conversion Price in effect at the time of such increase or decrease will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If the terms of any option or convertible security that was outstanding as of the date of issuance of the Preferred Stock and related Warrants are increased or decreased in the manner described in the immediately preceding sentence, then such option or convertible security and the shares of common stock deemed issuable upon exercise, conversion or exchange thereof will be deemed to have been issued as of the date of such increase or decrease. No adjustment will be made if such adjustment would result in an increase of the Conversion Price then in effect.</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If any option and/or convertible security and/or Adjustment Right is issued in connection with the issuance or sale or deemed issuance or sale of any other securities of the Company (as determined by the holder of Preferred Stock, the “Primary Security”, and such option and/or convertible security and/or Adjustment Right (as defined below), the “Secondary Securities” and together with the Primary Security, each a “unit”), together comprising one integrated transaction, the aggregate consideration per share of common stock with respect to such Primary Security will be deemed to be the lower of  (x) the purchase price of such unit, (y) if such Primary Security is an option and/or convertible security, the lowest price per share for which one share of common stock is at any time issuable upon the exercise or conversion of the Primary Security in accordance with the paragraphs above and (z) the lowest volume-weighted average price of the common stock on any trading day during the four trading day period immediately following the public announcement of such dilutive issuance.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volume-weighted average prices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“Valuation Event”), the fair value of such consideration will be determined within five trading days after the tenth day following such Valuation Event by an independent, reputable appraiser jointly selected by the Company and the holder.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0" w:right="319" w:bottom="1440" w:gutter="0" w:footer="0" w:header="0"/>
        </w:sectPr>
      </w:pPr>
    </w:p>
    <w:bookmarkStart w:id="13" w:name="page14"/>
    <w:bookmarkEnd w:id="13"/>
    <w:p>
      <w:pPr>
        <w:jc w:val="both"/>
        <w:spacing w:after="0" w:line="269" w:lineRule="auto"/>
        <w:rPr>
          <w:sz w:val="20"/>
          <w:szCs w:val="20"/>
          <w:color w:val="auto"/>
        </w:rPr>
      </w:pPr>
      <w:r>
        <w:rPr>
          <w:rFonts w:ascii="Times New Roman" w:cs="Times New Roman" w:eastAsia="Times New Roman" w:hAnsi="Times New Roman"/>
          <w:sz w:val="14"/>
          <w:szCs w:val="14"/>
          <w:color w:val="auto"/>
        </w:rPr>
        <w:t>“Adjustment Right” means any right granted with respect to any securities issued in connection with, or with respect to, any issuance or sale (or deemed issuance or sale in accordance with the paragraph above) of shares of common stock that could result in a decrease in the net consideration received by the Company in connection with, or with respect to, such securities (including, without limitation, any cash settlement rights, cash adjustment or other similar rights).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holders of Preferred Stock may be eligible to elect an alternative price in the event we issue certain variable price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Liquidation; Dividends; Repurchases.</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event of a liquidation, the holders of Series B Preferred Stock are entitled to participate on an as-converted-to-common stock basis with holders of the common stock in any distribution of assets of the Company to the holders of the common stock. Additionally, we will not pay any dividends on shares of common stock (other than dividends in the form of common stock) unless and until such time as we pay dividends on each Series B Preferred Share on an as-converted basis. Other than as set forth in the previous sentence, no other dividends will be paid on Series B Preferred Stock and we will pay no dividends (other than dividends in the form of common stock) on shares of common stock unless we simultaneously comply with the previous sentence.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Redemption Right.</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Company holds an option to redeem some or all of the Series B Preferred Stock at any time after the six-month anniversary of its issuance date at a 25% premium to the stated value of the Series B Preferred Stock subject to redemption, upon 30 days prior written notice to the holder of the Series B Preferred Stock. The Series B Preferred Stock would be redeemed by the Company for cash.</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Fundamental Transactions.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event of any fundamental transaction, generally including any merger with or into another entity, sale of all or substantially all of our assets, tender offer or exchange offer, or reclassification of our common stock, then upon any subsequent conversion of the Series B Preferred Stock, the holder will have the right to receive as alternative consideration, for each share of our common stock that would have been issuable upon such conversion immediately prior to the occurrence of such fundamental transaction, the number of shares of common stock of the successor or acquiring corporation or of our company, if it is the surviving corporation, and any additional consideration receivable upon or as a result of such transaction by a holder of the number of shares of our common stock for which the Series B Preferred Stock is convertible immediately prior to such event.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With certain exceptions, the holders of shares of Series B Preferred Stock have no voting rights. However, as long as any shares of Series B Preferred Stock remain outstanding, we may not, without the affirmative vote of holders of a majority of the then-outstanding Series B Preferred Stock, (a) alter or change adversely the powers, preferences or rights given to the Series B Preferred Stock or alter or amend the certificate of designation, (b) increase the number of authorized shares of Series B Preferred Stock, (c) amend our Amended and Restated Certificate of Incorporation or other charter documents in any manner that adversely affects any rights of holders of Series B Preferred Stock disproportionately to the rights of holders of our other capital stock, or (d) enter into any agreement with respect to any of the foregoing.</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0"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color w:val="auto"/>
        </w:rPr>
        <w:t>Jurisdiction and Waiver of Trial by Jury</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Other than with respect to suits, actions or proceedings arising under the federal securities laws, the certificate of designation provides for investors to consent to exclusive jurisdiction to courts located in New York, New York and provides for a waiver of the right to a trial by jury. It also provides that disputes are governed by Delaware law.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Series C Preferred Stock</w:t>
      </w:r>
      <w:r>
        <w:rPr>
          <w:rFonts w:ascii="Times New Roman" w:cs="Times New Roman" w:eastAsia="Times New Roman" w:hAnsi="Times New Roman"/>
          <w:sz w:val="14"/>
          <w:szCs w:val="14"/>
          <w:color w:val="auto"/>
        </w:rPr>
        <w:t>.</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Our Board of Directors designated 9,440 shares of our preferred stock as Series C Preferred Stock. As of March 31, 2026, there were 50 shares of Series C Preferred stock outstanding which are convertible into 2 shares of our common stock.</w:t>
      </w:r>
    </w:p>
    <w:p>
      <w:pPr>
        <w:spacing w:after="0" w:line="1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Conversion. </w:t>
      </w:r>
      <w:r>
        <w:rPr>
          <w:rFonts w:ascii="Times New Roman" w:cs="Times New Roman" w:eastAsia="Times New Roman" w:hAnsi="Times New Roman"/>
          <w:sz w:val="14"/>
          <w:szCs w:val="14"/>
          <w:color w:val="auto"/>
        </w:rPr>
        <w:t>Each share of Series C Preferred Stock will be convertible at our option at any time on or after the first anniversary of the expiration of the Rights Offering or at the option of the holder 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time, into the number of shares of our common stock determined by dividing the $1,000 stated value per share of the Series C Preferred Stock by a conversion price of $ 29,628.00 per share. In addition, the conversion price per share is subject to adjustment for stock dividends, distributions, subdivisions, combinations or reclassifications. Subject to limited exceptions, a holder of the Series C Preferred Stock will not have the right to convert any portion of the Series C Preferred Stock to the extent that, after giving effect to the conversion, the holder, together with its affiliates, would beneficially own in excess of 4.99% of the number of shares of our common stock outstanding immediately after giving effect to its conversion. A holder of the Series C Preferred Stock, upon notice to the Company, may increase or decrease the beneficial ownership limitation provisions of such holder’s Series C Preferred Stock, provided that in no event shall the limitation exceed 9.99% of the number of shares of our common stock outstanding immediately after giving effect to its conversion. In the event that a conversion is effected at our option, we will exercise such option to convert shares of Series C Preferred Stock on a pro rata basis among all of the holders based on such holders’ shares of Series C Preferred Stock.</w:t>
      </w:r>
    </w:p>
    <w:p>
      <w:pPr>
        <w:spacing w:after="0" w:line="1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Fundamental Transactions. </w:t>
      </w:r>
      <w:r>
        <w:rPr>
          <w:rFonts w:ascii="Times New Roman" w:cs="Times New Roman" w:eastAsia="Times New Roman" w:hAnsi="Times New Roman"/>
          <w:sz w:val="14"/>
          <w:szCs w:val="14"/>
          <w:color w:val="auto"/>
        </w:rPr>
        <w:t>In the event we effect certain mergers, consolidations, sales of substantially all of our assets, tender or exchange offers, reclassifications or share exchanges in which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is effectively converted into or exchanged for other securities, cash or property, we consummate a business combination in which another person acquires 50% of the outstanding shares of our common stock, or any person or group becomes the beneficial owner of 50% of the aggregate ordinary voting power represented by our issued and outstanding common stock, then, upon any subsequent conversion of the Series C Preferred Stock, the holders of the Series C Preferred Stock will have the right to receive any shares of the acquiring corporation or other consideration it would have been entitled to receive if it had been a holder of the number of shares of common stock then issuable upon conversion in full of the Series C Preferred Stock.</w:t>
      </w:r>
    </w:p>
    <w:p>
      <w:pPr>
        <w:spacing w:after="0" w:line="13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i w:val="1"/>
          <w:iCs w:val="1"/>
          <w:color w:val="auto"/>
        </w:rPr>
        <w:t xml:space="preserve">Dividends. </w:t>
      </w:r>
      <w:r>
        <w:rPr>
          <w:rFonts w:ascii="Times New Roman" w:cs="Times New Roman" w:eastAsia="Times New Roman" w:hAnsi="Times New Roman"/>
          <w:sz w:val="14"/>
          <w:szCs w:val="14"/>
          <w:color w:val="auto"/>
        </w:rPr>
        <w:t>Holders of Series C Preferred Stock shall be entitled to receive dividends (on an as-if-converted-to-common-stock basis) in the same form as dividends actually paid on shares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when, as and if such dividends are paid on shares of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Voting Rights. </w:t>
      </w:r>
      <w:r>
        <w:rPr>
          <w:rFonts w:ascii="Times New Roman" w:cs="Times New Roman" w:eastAsia="Times New Roman" w:hAnsi="Times New Roman"/>
          <w:sz w:val="14"/>
          <w:szCs w:val="14"/>
          <w:color w:val="auto"/>
        </w:rPr>
        <w:t>Except as otherwise provided in the certificate of designation or as otherwise required by law, the Series C Preferred Stock has no voting rights.</w:t>
      </w:r>
    </w:p>
    <w:p>
      <w:pPr>
        <w:spacing w:after="0" w:line="17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Liquidation Preference. </w:t>
      </w:r>
      <w:r>
        <w:rPr>
          <w:rFonts w:ascii="Times New Roman" w:cs="Times New Roman" w:eastAsia="Times New Roman" w:hAnsi="Times New Roman"/>
          <w:sz w:val="14"/>
          <w:szCs w:val="14"/>
          <w:color w:val="auto"/>
        </w:rPr>
        <w:t>Upon our liquidation, dissolution or winding-up, whether voluntary or involuntary, holders of Series C Preferred Stock will be entitled to receive out of our assets, whether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capital or surplus, the same amount that a holder of common stock would receive if the Series C Preferred Stock were fully converted (disregarding for such purpose any conversion limitations under the certificate of designation) to common stock, which amounts shall be paid pari passu with all holders of common stock.</w:t>
      </w:r>
    </w:p>
    <w:p>
      <w:pPr>
        <w:spacing w:after="0" w:line="13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i w:val="1"/>
          <w:iCs w:val="1"/>
          <w:color w:val="auto"/>
        </w:rPr>
        <w:t xml:space="preserve">Redemption Rights. </w:t>
      </w:r>
      <w:r>
        <w:rPr>
          <w:rFonts w:ascii="Times New Roman" w:cs="Times New Roman" w:eastAsia="Times New Roman" w:hAnsi="Times New Roman"/>
          <w:sz w:val="14"/>
          <w:szCs w:val="14"/>
          <w:color w:val="auto"/>
        </w:rPr>
        <w:t>We are not obligated to redeem or repurchase any shares of Series C Preferred Stock. Shares of Series C Preferred Stock are not otherwise entitled to any redemption rights,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mandatory sinking fund or analogous provisions.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Series D Preferred Stock</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Our Board of Directors designated 4,656 shares of our preferred stock as Series D Preferred Stock. As of March 31, 2026, there were 180 shares of Series D Preferred stock outstanding which are convertible into 60 shares of our common stock.</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15" w:name="page16"/>
    <w:bookmarkEnd w:id="15"/>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Conversion. </w:t>
      </w:r>
      <w:r>
        <w:rPr>
          <w:rFonts w:ascii="Times New Roman" w:cs="Times New Roman" w:eastAsia="Times New Roman" w:hAnsi="Times New Roman"/>
          <w:sz w:val="14"/>
          <w:szCs w:val="14"/>
          <w:color w:val="auto"/>
        </w:rPr>
        <w:t>Each share of Series D Preferred Stock is convertible at the option of the holder at any time, into the number of shares of our common stock determined by dividing the $1,000 stated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value per share of the Series D Preferred Stock by a conversion price of $ 3,020.40 per share. In addition, the conversion price per share is subject to adjustment for stock dividends, distributions, subdivisions, combinations or reclassifications. Subject to limited exceptions, a holder of the Series D Preferred Stock will not have the right to convert any portion of the Series D Preferred Stock to the extent that, after giving effect to the conversion, the holder, together with its affiliates, would beneficially own in excess of 4.99% of the number of shares of our common stock outstanding immediately after giving effect to its conversion. A holder of the Series D Preferred Stock, upon notice to us, may increase or decrease the beneficial ownership limitation provisions of such holder’s Series D Preferred Stock, provided that in no event shall the limitation exceed 9.99% of the number of shares of our common stock outstanding immediately after giving effect to its conversion.</w:t>
      </w:r>
    </w:p>
    <w:p>
      <w:pPr>
        <w:spacing w:after="0" w:line="1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Fundamental Transactions. </w:t>
      </w:r>
      <w:r>
        <w:rPr>
          <w:rFonts w:ascii="Times New Roman" w:cs="Times New Roman" w:eastAsia="Times New Roman" w:hAnsi="Times New Roman"/>
          <w:sz w:val="14"/>
          <w:szCs w:val="14"/>
          <w:color w:val="auto"/>
        </w:rPr>
        <w:t>In the event we effect certain mergers, consolidations, sales of substantially all of our assets, tender or exchange offers, reclassifications or share exchanges in which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is effectively converted into or exchanged for other securities, cash or property, we consummate a business combination in which another person acquires 50% of the outstanding shares of our common stock, or any person or group becomes the beneficial owner of 50% of the aggregate ordinary voting power represented by our issued and outstanding common stock, then, upon any subsequent conversion of the Series D Preferred Stock, the holders of the Series D Preferred Stock will have the right to receive any shares of the acquiring corporation or other consideration it would have been entitled to receive if it had been a holder of the number of shares of common stock then issuable upon conversion in full of the Series D Preferred Stock.</w:t>
      </w:r>
    </w:p>
    <w:p>
      <w:pPr>
        <w:spacing w:after="0" w:line="13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i w:val="1"/>
          <w:iCs w:val="1"/>
          <w:color w:val="auto"/>
        </w:rPr>
        <w:t xml:space="preserve">Dividends. </w:t>
      </w:r>
      <w:r>
        <w:rPr>
          <w:rFonts w:ascii="Times New Roman" w:cs="Times New Roman" w:eastAsia="Times New Roman" w:hAnsi="Times New Roman"/>
          <w:sz w:val="14"/>
          <w:szCs w:val="14"/>
          <w:color w:val="auto"/>
        </w:rPr>
        <w:t>Holders of Series D Preferred Stock shall be entitled to receive dividends (on an as-if-converted-to-common-stock basis) in the same form as dividends actually paid on shares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when, as and if such dividends are paid on shares of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Voting Rights. </w:t>
      </w:r>
      <w:r>
        <w:rPr>
          <w:rFonts w:ascii="Times New Roman" w:cs="Times New Roman" w:eastAsia="Times New Roman" w:hAnsi="Times New Roman"/>
          <w:sz w:val="14"/>
          <w:szCs w:val="14"/>
          <w:color w:val="auto"/>
        </w:rPr>
        <w:t>Except as otherwise provided in the certificate of designation or as otherwise required by law, the Series D Preferred Stock has no voting rights.</w:t>
      </w:r>
    </w:p>
    <w:p>
      <w:pPr>
        <w:spacing w:after="0" w:line="17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Liquidation Preference. </w:t>
      </w:r>
      <w:r>
        <w:rPr>
          <w:rFonts w:ascii="Times New Roman" w:cs="Times New Roman" w:eastAsia="Times New Roman" w:hAnsi="Times New Roman"/>
          <w:sz w:val="14"/>
          <w:szCs w:val="14"/>
          <w:color w:val="auto"/>
        </w:rPr>
        <w:t>Upon our liquidation, dissolution or winding-up, whether voluntary or involuntary, holders of Series D Preferred Stock will be entitled to receive out of our assets, whether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capital or surplus, the same amount that a holder of common stock would receive if the Series D Preferred Stock were fully converted (disregarding for such purpose any conversion limitations under the certificate of designation) to common stock, which amounts shall be paid pari passu with all holders of common stock.</w:t>
      </w:r>
    </w:p>
    <w:p>
      <w:pPr>
        <w:spacing w:after="0" w:line="13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i w:val="1"/>
          <w:iCs w:val="1"/>
          <w:color w:val="auto"/>
        </w:rPr>
        <w:t xml:space="preserve">Redemption Rights. </w:t>
      </w:r>
      <w:r>
        <w:rPr>
          <w:rFonts w:ascii="Times New Roman" w:cs="Times New Roman" w:eastAsia="Times New Roman" w:hAnsi="Times New Roman"/>
          <w:sz w:val="14"/>
          <w:szCs w:val="14"/>
          <w:color w:val="auto"/>
        </w:rPr>
        <w:t>We are not obligated to redeem or repurchase any shares of Series D Preferred Stock. Shares of Series D Preferred Stock are not otherwise entitled to any redemption rights,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mandatory sinking fund or analogous provisions.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Future Preferred Stock</w:t>
      </w:r>
      <w:r>
        <w:rPr>
          <w:rFonts w:ascii="Times New Roman" w:cs="Times New Roman" w:eastAsia="Times New Roman" w:hAnsi="Times New Roman"/>
          <w:sz w:val="14"/>
          <w:szCs w:val="14"/>
          <w:color w:val="auto"/>
        </w:rPr>
        <w:t>.</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Our Board of Directors will fix the rights, preferences, privileges, qualifications and restrictions of the preferred stock of each series that we may sell. The General Corporation Law of the State of Delaware, the state of our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Description of Other Outstanding Securities of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As of June 22, 2026, including the Warrants, there were 6,467,424 common stock purchase warrants outstanding, which expire between September 2027 and June 2031. Each of these warrants entitles the holder to purchase one share of common stock at prices ranging between $2.14 and $3,322.40 per share. Certain of these warrants has a net exercise provision under which its holder may, in lieu of payment of the exercise price in cash, surrender the warrant and receive a net amount of shares based on the fair market value of our common stock at the time of exercise of the warrant after deduction of the aggregate exercise price. Additionally, certain of these warrants entitle a holder to also effect an “alternative cashless exercise” wherein the holder may surrender a certain number of warrants in return for a lesser number of shares of our common stock on a cashless basis. Each of these warrants also contains provisions for the adjustment of the exercise price and the aggregate number of shares issuable upon the exercise of the warrant in the event of dividends, share splits, reorganizations and reclassifications and consolidations. Certain of these warrants contain a provision requiring a reduction to the exercise price in the event we issue common stock, or securities convertible into or exercisable for common stock, at a price per share lower than the warrant exercise price.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holders of certain of these warrants have registration rights, as described in greater detail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Class A Warrants, Class B Warrants, and Placement Agent Warrants issued in the Private Placement</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In connection with the Private Placement, the Company issued Class A Warrants to purchase an aggregate of 1,882,846 shares of common stock. Each Class A Warrant becomes exercisable upon issuance, has an exercise price equal to $2.14 per share, subject to adjustment as provided therein, and expires on the fifth anniversary of its issuance.</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Class A Warrants contain customary anti-dilution adjustments for stock splits, stock dividends and similar events. In addition, subject to compliance with applicable Nasdaq rules and stockholder approval requirements, the exercise price of the Class A Warrants is subject to adjustment if the Company issues common stock or Common Stock Equivalents in certain future equity financing transactions at a price below the then-current exercise price. The Class A Warrants also contain customary provisions relating to fundamental transactions, including mergers, consolidations, sales of substantially all assets and similar transactions. Holders may exercise the warrants on a cashless basis under certain circumstances. The Class A Warrants are also subject to beneficial ownership limitations of 4.99% or 9.99%, at the election of the holder.</w:t>
      </w:r>
    </w:p>
    <w:p>
      <w:pPr>
        <w:spacing w:after="0" w:line="1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In connection with the Private Placement, the Company issued Class B Warrants to purchase an aggregate of 1,882,846 shares of common stock. The Class B Warrants are immediately exercisable, have an exercise price of $2.14 per share, subject to adjustment as provided therein, and expire on the second anniversary of the initial exercise date.</w:t>
      </w:r>
    </w:p>
    <w:p>
      <w:pPr>
        <w:spacing w:after="0" w:line="1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Class B Warrants contain customary anti-dilution adjustments for stock splits, stock dividends and similar events. In addition, subject to compliance with applicable Nasdaq rules and stockholder approval requirements, the exercise price of the Class B Warrants is subject to an adjustment if the Company completes certain future equity financings at a price below the then-current exercise price. The Class B Warrants also contain customary provisions relating to fundamental transactions, including mergers, consolidations and sales of substantially all of the Company’s assets. Under certain circumstances, holders may exercise the Class B Warrants on a cashless basis. The Class B Warrants are also subject to beneficial ownership limitations of 4.99% or 9.99%, at the election of the holder.</w:t>
      </w:r>
    </w:p>
    <w:p>
      <w:pPr>
        <w:spacing w:after="0" w:line="3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upon the occurrence of specified revenue milestones, the Company may require holders to exercise all or a portion of their then-outstanding Class B Warrants. Specifically, if the Company reports quarterly revenue of at least $2.0 million in a fiscal quarter, as evidenced in a Quarterly Report on Form 10-Q, Annual Report on Form 10-K, or certain Current Reports on Form 8-K, the Company may deliver a notice requiring the holder to exercise all or a specified portion of the outstanding Class B Warrants within five business days. Any portion of the called warrants not timely exercised would automatically expire without consideration, subject to the warrant’s beneficial ownership limitations.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17" w:name="page18"/>
    <w:bookmarkEnd w:id="17"/>
    <w:p>
      <w:pPr>
        <w:jc w:val="both"/>
        <w:spacing w:after="0" w:line="269" w:lineRule="auto"/>
        <w:rPr>
          <w:sz w:val="20"/>
          <w:szCs w:val="20"/>
          <w:color w:val="auto"/>
        </w:rPr>
      </w:pPr>
      <w:r>
        <w:rPr>
          <w:rFonts w:ascii="Times New Roman" w:cs="Times New Roman" w:eastAsia="Times New Roman" w:hAnsi="Times New Roman"/>
          <w:sz w:val="14"/>
          <w:szCs w:val="14"/>
          <w:color w:val="auto"/>
        </w:rPr>
        <w:t>In connection with the Private Placement, the Company agreed to issue to H.C. Wainwright, or its designees, Placement Agent Warrants to purchase an aggregate of 92,573 shares of common stock. Each Placement Agent Warrant is immediately exercisable, has an exercise price equal to $2.9875 per share, subject to adjustment as provided therein, and expires on the fifth anniversary of its issuance.</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Placement Agent Warrants contain customary anti-dilution adjustments for stock splits, stock dividends and similar events. In addition, subject to compliance with applicable Nasdaq rules and stockholder approval requirements, the exercise price of the Placement Agent Warrants is subject to an adjustment if the Company completes certain future equity financings at a price below the then-current exercise price. The Placement Agent Warrants also contain customary provisions relating to fundamental transactions, including mergers, consolidations and sales of substantially all of the Company’s assets. Under certain circumstances, holders may exercise the Placement Agent Warrants on a cashless basis. The Placement Agent Warrants are also subject to beneficial ownership limitations of 4.99% or 9.99%, at the election of the holder.</w:t>
      </w:r>
    </w:p>
    <w:p>
      <w:pPr>
        <w:spacing w:after="0" w:line="1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Fundamental Transaction</w:t>
      </w:r>
      <w:r>
        <w:rPr>
          <w:rFonts w:ascii="Times New Roman" w:cs="Times New Roman" w:eastAsia="Times New Roman" w:hAnsi="Times New Roman"/>
          <w:sz w:val="14"/>
          <w:szCs w:val="14"/>
          <w:color w:val="auto"/>
        </w:rPr>
        <w:t>. Upon the occurrence of a Fundamental Transaction (such as a merger, change of control, or sale of substantially all assets, as defined in the Warrants), the successor entity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required to assume all obligations under the Warrants and must be a publicly traded corporation. Notwithstanding such assumption, a holder has the right to require the Company or its successor to purchase the unexercised portion of the Warrant at a purchase price equal to its Black-Scholes Value, provided that the holder delivers a written request within 90 days after the public disclosure of the consummation of such transaction. Pursuant to the terms of the Warrants, the Black-Scholes Value will be determined as of the consummation date based on the Black-Scholes Option Pricing Model, reflecting specified pricing inputs including a risk-free interest rate based on U.S. Treasury rates, an expected volatility based on the greater of historical 30-day or 100-day volatilities, a zero cost of borrow, and an underlying share price based on the highest volume-weighted average price during the period around the public announcement of the transaction.</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foregoing description of the Class A Warrants and Class B Warrants does not purport to be complete and is qualified in its entirety by reference to the forms of Class A Warrant and Class B Warrant filed as exhibits to the registration statement of which this prospectus forms a part.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2025 Warrant Inducement</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September 8, 2025, the Company entered into an inducement agreement (the “Inducement Letter”) with certain holders of certain of the Company’s existing warrants to purchase up to an aggregate of 1,099,431 shares of the Company’s common stock originally issued on February 25, 2025, with a five and one-half (5.5) years term at an exercise price of $3.32 per share. Pursuant to the Inducement Letter, the warrant holders agreed to exercise for cash the existing warrants to purchase an aggregate of 1,099,431 shares of the Company’s common stock at an exercise price of $3.32 per share in consideration of the Company’s agreement to issue new common stock purchase warrants to purchase up to an aggregate of 1,649,147 shares of the Company’s common stock at an exercise price of $4.79 per share (the “2025 Warrant Inducement Warrant”). In addition, the warrant holders agreed to pay $0.125 per new warrant as consideration for the issuance of the new warrants. The Company received aggregate gross proceeds of approximately $3.8 million from the exercise of the existing warrants by the warrant holder, before deducting placement agent fees and other offering expenses payable by the Company (the “2025 Warrant Inducement”). In connection with the 2025 Warrant Inducement, the Company also issued placement agent warrants (the “2025 Warrant Inducement Placement Agent Warrants” and together with the 2025 Warrant Inducement Warrant, the “2025 Inducement Warrants”) to purchase an aggregate of up to 92,392 shares of common stock.</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2025 Warrant Inducement Warrant are exercisable immediately upon issuance and have a term of exercise equal to five and one-half years from the date of issuance. If a registration statement registering the resale of the shares of common stock underlying the 2025 Warrant Inducement Warrant under the Securities Act, is not effective or available, the holder may, in its sole discretion, elect to exercise the 2025 Warrant Inducement Warrant through a cashless exercise, in which case the holder would receive upon such exercise the net number of shares of common stock determined according to the formula set forth in the 2025 Warrant Inducement Warrant. No fractional shares of common stock will be issued upon the exercise of any 2025 Warrant Inducement Warrant. In lieu of fractional shares, we will pay the holder an amount in cash equal to the fractional amount multiplied by the exercise price or round up to the next whole share.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0" w:right="319" w:bottom="1440" w:gutter="0" w:footer="0" w:header="0"/>
        </w:sectPr>
      </w:pPr>
    </w:p>
    <w:bookmarkStart w:id="18" w:name="page19"/>
    <w:bookmarkEnd w:id="18"/>
    <w:p>
      <w:pPr>
        <w:jc w:val="both"/>
        <w:spacing w:after="0" w:line="259" w:lineRule="auto"/>
        <w:rPr>
          <w:sz w:val="20"/>
          <w:szCs w:val="20"/>
          <w:color w:val="auto"/>
        </w:rPr>
      </w:pPr>
      <w:r>
        <w:rPr>
          <w:rFonts w:ascii="Times New Roman" w:cs="Times New Roman" w:eastAsia="Times New Roman" w:hAnsi="Times New Roman"/>
          <w:sz w:val="14"/>
          <w:szCs w:val="14"/>
          <w:color w:val="auto"/>
        </w:rPr>
        <w:t>The 2025 Warrant Inducement Placement Agent Warrants will be exercisable immediately upon issuance and have a term of exercise equal to five and one-half years from the date of issuance. If a registration statement registering the resale of the shares of common stock underlying the 2025 Warrant Inducement Placement Agent Warrants under the Securities Act, is not effective or available, the holder may, in its sole discretion, elect to exercise the 2025 Warrant Inducement Placement Agent Warrants through a cashless exercise, in which case the holder would receive upon such exercise the net number of shares of common stock determined according to the formula set forth in the 2025 Warrant Inducement Placement Agent Warrants. No fractional shares of common stock will be issued upon the exercise of any 2025 Warrant Inducement Placement Agent Warrant. In lieu of fractional shares, we will pay the holder an amount in cash equal to the fractional amount multiplied by the exercise price or round up to the next whole share.</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Fundamental Transaction</w:t>
      </w:r>
      <w:r>
        <w:rPr>
          <w:rFonts w:ascii="Times New Roman" w:cs="Times New Roman" w:eastAsia="Times New Roman" w:hAnsi="Times New Roman"/>
          <w:sz w:val="14"/>
          <w:szCs w:val="14"/>
          <w:color w:val="auto"/>
        </w:rPr>
        <w:t>. If a Fundamental Transaction (as defined in the respective 2025 Inducement Warrants) occurs, then the successor entity will succeed to, and be substituted for the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may exercise every right and power that the Company may exercise and will assume all of the Company’s obligations under the 2025 Inducement Warrants with the same effect as if such successor entity had been named in the 2025 Inducement Warrants itself. If holders of shares of common stock are given a choice as to the securities, cash or property to be received in such a Fundamental Transaction, then the holder shall be given the same choice as to the consideration it would receive upon any exercise of the 2025 Inducement Warrants following such a Fundamental Transaction. Additionally, as more fully described in the 2025 Warrant Inducement Warrant and 2025 Warrant Inducement Placement Agent Warrants, in the event of certain Fundamental Transactions, the holders of the 2025 Warrant Inducement Warrant and 2025 Warrant Inducement Placement Agent Warrants will be entitled to receive consideration in an amount equal to the Black Scholes Value (as defined in the respective 2025 Inducement Warrants), on the date of consummation of such Fundamental Transaction.</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Stock Dividends and Splits</w:t>
      </w:r>
      <w:r>
        <w:rPr>
          <w:rFonts w:ascii="Times New Roman" w:cs="Times New Roman" w:eastAsia="Times New Roman" w:hAnsi="Times New Roman"/>
          <w:sz w:val="14"/>
          <w:szCs w:val="14"/>
          <w:color w:val="auto"/>
        </w:rPr>
        <w:t>. If at any time on or after the date of issuance there occurs any share split, share dividend, share combination recapitalization or other similar transaction involving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the 2025 Inducement Warrants shall be proportionately adjusted such that the aggregate exercise price of the 2025 Inducement Warrants shall remain unchanged.</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foregoing description of the 2025 Inducement Warrants is not complete. For the complete terms of the 2025 Inducement Warrants, you should refer to the forms of the 2025 Warrant Inducement Warrant and 2025 Warrant Inducement Placement Agent Warrants filed as an exhibit to the registration statement of which this prospectus forms a part.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0"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color w:val="auto"/>
        </w:rPr>
        <w:t>The February 2025 Offering Pre-Funded Warrants, Placement Agent Warrants and Common Warrants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June 22, 2026, there are 129,170 pre-funded warrants outstanding that are immediately exercisable and may be exercised at any time until all of the pre-funded warrants are exercised in full (the “February 2025 Pre-Funded Warrants”). The February 2025 Pre-Funded Warrants may be exercised on a cashless basis at any time, in which case the holder would receive upon such exercise the net number of shares of common stock determined according to the formula set forth in the February 2025 Pre-Funded Warrants. No fractional shares of common stock will be issued in connection with the exercise of a February 2025 Pre-Funded Warrant. In lieu of fractional shares, we will pay the holder an amount in cash equal to the fractional amount multiplied by the exercise price or round up to the next whole share.</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placement agent warrants issued in February 2025 were exercisable immediately upon issuance and have a term of exercise equal to five and one-half years from the date of issuance (the “February 2025 Placement Agent Warrants”). If a registration statement registering the resale of the shares of common stock underlying the February 2025 Placement Agent Warrants under the Securities Act, is not effective or available, the holder may, in its sole discretion, elect to exercise the February 2025 Placement Agent Warrants through a cashless exercise, in which case the holder would receive upon such exercise the net number of shares of common stock determined according to the formula set forth in the February 2025 Placement Agent Warrants. No fractional shares of common stock will be issued upon the exercise of any February 2025 Placement Agent Warrant. In lieu of fractional shares, we will pay the holder an amount in cash equal to the fractional amount multiplied by the exercise price or round up to the next whole share.</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common warrants are exercisable immediately upon issuance and have a term of exercise equal to five and one-half years from the date of issuance (the “February 2025 Common Warrants”). If a registration statement registering the resale of the shares of common stock underlying the February 2025 Common Warrants under the Securities Act, is not effective or available, the holder may, in its sole discretion, elect to exercise the February 2025 Common Warrants through a cashless exercise, in which case the holder would receive upon such exercise the net number of shares of common stock determined according to the formula set forth in the February 2025 Common Warrants. No fractional shares of common stock will be issued upon the exercise of any February 2025 Common Warrant. In lieu of fractional shares, we will pay the holder an amount in cash equal to the fractional amount multiplied by the exercise price or round up to the next whole share.</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Fundamental Transaction. </w:t>
      </w:r>
      <w:r>
        <w:rPr>
          <w:rFonts w:ascii="Times New Roman" w:cs="Times New Roman" w:eastAsia="Times New Roman" w:hAnsi="Times New Roman"/>
          <w:sz w:val="14"/>
          <w:szCs w:val="14"/>
          <w:color w:val="auto"/>
        </w:rPr>
        <w:t>If a Fundamental Transaction (as defined in the respective February 2025 Common Warrants) occurs, then the successor entity will succeed to, and be substituted for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and may exercise every right and power that the Company may exercise and will assume all of the Company’s obligations under the February 2025 Common Warrants with the same effect as if such successor entity had been named in the February 2025 Common Warrants itself. If holders of shares of common stock are given a choice as to the securities, cash or property to be received in such a Fundamental Transaction, then the holder shall be given the same choice as to the consideration it would receive upon any exercise of the February 2025 Common Warrants following such a Fundamental Transaction. Additionally, as more fully described in the February 2025 Common Warrants and February 2025 Placement Agent Warrants, in the event of certain Fundamental Transactions, the holders of the February 2025 Common Warrants and February 2025 Placement Agent Warrants will be entitled to receive consideration in an amount equal to the Black Scholes Value (as defined in the respective Warrants), on the date of consummation of such Fundamental Transaction.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sectPr>
      </w:pPr>
    </w:p>
    <w:bookmarkStart w:id="20" w:name="page21"/>
    <w:bookmarkEnd w:id="20"/>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Stock Dividends and Splits. </w:t>
      </w:r>
      <w:r>
        <w:rPr>
          <w:rFonts w:ascii="Times New Roman" w:cs="Times New Roman" w:eastAsia="Times New Roman" w:hAnsi="Times New Roman"/>
          <w:sz w:val="14"/>
          <w:szCs w:val="14"/>
          <w:color w:val="auto"/>
        </w:rPr>
        <w:t>If at any time on or after the date of issuance there occurs any share split, share dividend, share combination recapitalization or other similar transaction involving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the February 2025 Common Warrant shall be proportionately adjusted such that the aggregate exercise price of the February 2025 Common Warrant shall remain unchanged.</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Beneficial Ownership Limitations. </w:t>
      </w:r>
      <w:r>
        <w:rPr>
          <w:rFonts w:ascii="Times New Roman" w:cs="Times New Roman" w:eastAsia="Times New Roman" w:hAnsi="Times New Roman"/>
          <w:sz w:val="14"/>
          <w:szCs w:val="14"/>
          <w:color w:val="auto"/>
        </w:rPr>
        <w:t>A holder will not have the right to exercise any portion of the February 2025 Common Warrants if the holder (together with its affiliates) would beneficially own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excess of 4.99% (or, upon election by a holder prior to the issuance of any warrants, 9.99%) of the number of shares of common stock outstanding immediately after giving effect to the exercise, as such percentage ownership is determined in accordance with the terms of the February 2025 Common Warrants and February 2025 Pre-Funded Warrants. However, any holder may increase or decrease such percentage to any other percentage not in excess of 9.99%, upon at least 61 days’ prior notice from the holder to us with respect to any increase in such percentage.</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foregoing description of the February 2025 Pre-Funded Warrants, February 2025 Common Warrants, and February 2025 Placement Agent Warrants is not complete. For the complete terms of the February 2025 Pre-Funded Warrants, February 2025 Common Warrants, and February 2025 Placement Agent Warrants, please refer to the forms of the February 2025 Pre-Funded Warrants, February 2025 Common Warrants, and February 2025 Placement Agent Warrants filed as exhibits to the registration statement of which this prospectus forms a part.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February 2023 Offering Warrants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February 7, 2023, we issued a Class C common stock purchase warrant to purchase up to 10,750 shares of common stock (the “Class C Warrants”) and a Class D common stock purchase warrant to purchase up to 5,375 shares of common stock (the “Class D Warrants”). The Class C and Class D Warrants are exercisable at a price of $1,120 per share. The Class C Warrants will expire five years from the date of issuance and the Class D Warrants will expire three years from the date of issuance. In addition, a holder may also effect an “alternative cashless exercise” wherein the aggregate number of shares of common stock issuable in such alternative cashless exercise shall equal the product of (x) the aggregate number of shares of common stock that would be issuable upon exercise of the Class C Warrant or Class D Warrant in accordance with the terms of such warrant if such exercise were by means of a cash exercise rather than a cashless exercise and (y) 0.40 with respect to the Class C Warrant or 0.80 with respect to the Class D Warrant.</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following summary of certain terms and provisions of the Class C Warrants, and Class D Warrants is not complete and is subject to, and qualified in its entirety by the provisions of the form of Class C Warrant, and the form of Class D Warrant, which are filed as exhibits to this registration statement.</w:t>
      </w:r>
    </w:p>
    <w:p>
      <w:pPr>
        <w:spacing w:after="0" w:line="1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i w:val="1"/>
          <w:iCs w:val="1"/>
          <w:color w:val="auto"/>
        </w:rPr>
        <w:t>Exercisability</w:t>
      </w:r>
      <w:r>
        <w:rPr>
          <w:rFonts w:ascii="Times New Roman" w:cs="Times New Roman" w:eastAsia="Times New Roman" w:hAnsi="Times New Roman"/>
          <w:sz w:val="14"/>
          <w:szCs w:val="14"/>
          <w:color w:val="auto"/>
        </w:rPr>
        <w:t>. The Class C Warrants are exercisable at any time after their original issuance and at any time up to the date that is five years after their original issuance. The Class D Warrants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exercisable at any time after their original issuance and at any time up to the date that is three years after their original issuance. Each of the Class C Warrants, Class D Warrants, are exercisable, at the option of each holder, in whole or in part by delivering to us a duly executed exercise notice and, at any time a registration statement registering the issuance of the shares of common stock underlying the Class C Warrants or Class D Warrants, under the Securities Act is effective and available for the issuance of such shares, by payment in full in immediately available funds for the number of shares of common stock purchased upon such exercise. If a registration statement registering the issuance of the shares of common stock underlying the Class C Warrants, Class D Warrants, under the Securities Act is not effective or available, the holder may, in its sole discretion, elect to exercise the Class C Warrant or Class D Warrant, through a cashless exercise, in which case the holder would receive upon such exercise the net number of shares of common stock determined according to the formula set forth in the warrant. We may be required to pay certain amounts as liquidated damages as specified in the warrants in the event we do not deliver shares of common stock upon exercise of the warrants within the time periods specified in the warrants. In addition, a holder may also effect an “alternative cashless exercise.” In such event, the aggregate number of shares of common stock issuable in such alternative cashless exercise shall equal the product of (x) the aggregate number of shares of common stock that would be issuable upon exercise of the Class C Warrant or Class D Warrant in accordance with the terms of such warrant if such exercise were by means of a cash exercise rather than a cashless exercise and (y) 0.40 with respect to the Class C Warrant or 0.80 with respect to the Class D Warrant. No fractional shares of common stock will be issued in connection with the exercise of a Class C Warrant or Class D Warrant. With respect to any alternative cashless exercise, fractional shares will be rounded down to the nearest whole share.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21" w:name="page22"/>
    <w:bookmarkEnd w:id="21"/>
    <w:p>
      <w:pPr>
        <w:jc w:val="both"/>
        <w:spacing w:after="0" w:line="289" w:lineRule="auto"/>
        <w:rPr>
          <w:sz w:val="20"/>
          <w:szCs w:val="20"/>
          <w:color w:val="auto"/>
        </w:rPr>
      </w:pPr>
      <w:r>
        <w:rPr>
          <w:rFonts w:ascii="Times New Roman" w:cs="Times New Roman" w:eastAsia="Times New Roman" w:hAnsi="Times New Roman"/>
          <w:sz w:val="14"/>
          <w:szCs w:val="14"/>
          <w:i w:val="1"/>
          <w:iCs w:val="1"/>
          <w:color w:val="auto"/>
        </w:rPr>
        <w:t xml:space="preserve">Fractional Shares. </w:t>
      </w:r>
      <w:r>
        <w:rPr>
          <w:rFonts w:ascii="Times New Roman" w:cs="Times New Roman" w:eastAsia="Times New Roman" w:hAnsi="Times New Roman"/>
          <w:sz w:val="14"/>
          <w:szCs w:val="14"/>
          <w:color w:val="auto"/>
        </w:rPr>
        <w:t>No fractional shares of common stock will be issued in connection with the exercise of a warrant. Other than as described above with respect to alternative cashless exercises,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lieu of fractional shares, we will, at our election, either pay the holder an amount in cash equal to the fractional amount multiplied by the exercise price or round up to the next whole share.</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Exercise Limitation</w:t>
      </w:r>
      <w:r>
        <w:rPr>
          <w:rFonts w:ascii="Times New Roman" w:cs="Times New Roman" w:eastAsia="Times New Roman" w:hAnsi="Times New Roman"/>
          <w:sz w:val="14"/>
          <w:szCs w:val="14"/>
          <w:color w:val="auto"/>
        </w:rPr>
        <w:t>. A holder will not have the right to exercise any portion of the Class C Warrants, or Class D Warrants if the holder (together with its affiliates) would beneficially own in excess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4.99% (or, upon election by a holder prior to the issuance of any warrants, 9.99%) of the number of shares of our common stock outstanding immediately after giving effect to the exercise, as such percentage ownership is determined in accordance with the terms of the warrants. However, any holder may increase or decrease such percentage to any other percentage not in excess of 9.99%, upon at least 61 days’ prior notice from the holder to us with respect to any increase in such percentage.</w:t>
      </w:r>
    </w:p>
    <w:p>
      <w:pPr>
        <w:spacing w:after="0" w:line="1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Exercise Price</w:t>
      </w:r>
      <w:r>
        <w:rPr>
          <w:rFonts w:ascii="Times New Roman" w:cs="Times New Roman" w:eastAsia="Times New Roman" w:hAnsi="Times New Roman"/>
          <w:sz w:val="14"/>
          <w:szCs w:val="14"/>
          <w:color w:val="auto"/>
        </w:rPr>
        <w:t>. The exercise price per whole share of common stock purchasable upon exercise of the Class C Warrants and the Class D Warrants is $1,120 per share. The exercise price and number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shares of common stock issuable on exercise are subject to appropriate adjustments in the event of certain stock dividends and distributions, stock splits, stock combinations, reclassifications or similar events affecting our common stock.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Transferability</w:t>
      </w:r>
      <w:r>
        <w:rPr>
          <w:rFonts w:ascii="Times New Roman" w:cs="Times New Roman" w:eastAsia="Times New Roman" w:hAnsi="Times New Roman"/>
          <w:sz w:val="14"/>
          <w:szCs w:val="14"/>
          <w:color w:val="auto"/>
        </w:rPr>
        <w:t>. Subject to applicable laws, the Class C Warrants and Class D Warrants may be offered for sale, sold, transferred or assigned without our consent.</w:t>
      </w:r>
    </w:p>
    <w:p>
      <w:pPr>
        <w:spacing w:after="0" w:line="17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i w:val="1"/>
          <w:iCs w:val="1"/>
          <w:color w:val="auto"/>
        </w:rPr>
        <w:t>Exchange Listing</w:t>
      </w:r>
      <w:r>
        <w:rPr>
          <w:rFonts w:ascii="Times New Roman" w:cs="Times New Roman" w:eastAsia="Times New Roman" w:hAnsi="Times New Roman"/>
          <w:sz w:val="14"/>
          <w:szCs w:val="14"/>
          <w:color w:val="auto"/>
        </w:rPr>
        <w:t>. We do not intend to list the Class C Warrants or the Class D Warrants on any securities exchange or other trading market. Without an active trading market, the liquidity of these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will be limited.</w:t>
      </w:r>
    </w:p>
    <w:p>
      <w:pPr>
        <w:spacing w:after="0" w:line="1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Warrant Agent</w:t>
      </w:r>
      <w:r>
        <w:rPr>
          <w:rFonts w:ascii="Times New Roman" w:cs="Times New Roman" w:eastAsia="Times New Roman" w:hAnsi="Times New Roman"/>
          <w:sz w:val="14"/>
          <w:szCs w:val="14"/>
          <w:color w:val="auto"/>
        </w:rPr>
        <w:t>. The Class C Warrants and Class D Warrants are issued in registered form under a warrant agreement between American Stock Transfer &amp; Trust Company, LLC, as warrant agent,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 The Class C Warrants and Class D Warrants shall initially be represented only by one or more global warrants deposited with the warrant agent, as custodian on behalf of The Depository Trust Company (“DTC”) and registered in the name of Cede &amp; Co., a nominee of DTC, or as otherwise directed by DTC.</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Fundamental Transactions</w:t>
      </w:r>
      <w:r>
        <w:rPr>
          <w:rFonts w:ascii="Times New Roman" w:cs="Times New Roman" w:eastAsia="Times New Roman" w:hAnsi="Times New Roman"/>
          <w:sz w:val="14"/>
          <w:szCs w:val="14"/>
          <w:color w:val="auto"/>
        </w:rPr>
        <w:t>. In the event of a fundamental transaction, and generally including, with certain exceptions, any reorganization, recapitalization or reclassification of our common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sale, transfer or other disposition of all or substantially all of our properties or assets, our consolidation or merger with or into another person, the acquisition of more than 50% of our outstanding shares of common stock, or any person or group becoming the beneficial owner of 50% of the voting power represented by our outstanding shares of common stock, the holders of the Class C Warrants and Class D Warrants will be entitled to receive upon exercise of the warrants the kind and amount of securities, cash or other property that the holders would have received had they exercised the warrants immediately prior to such fundamental transaction. In addition, in the event of a fundamental transaction, we or the successor entity, at the request of a holder of Class C Warrants or Class D Warrants, will be obligated to purchase any unexercised portion of such Class C Warrants or Class D Warrants in accordance with the terms of the warrants. Additionally, as more fully described in the warrants, in the event of certain fundamental transactions, the holders of the warrants will be entitled to receive consideration in an amount equal to the Black Scholes value of the warrants on the date of consummation of such transaction.</w:t>
      </w:r>
    </w:p>
    <w:p>
      <w:pPr>
        <w:spacing w:after="0" w:line="14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i w:val="1"/>
          <w:iCs w:val="1"/>
          <w:color w:val="auto"/>
        </w:rPr>
        <w:t>Rights as a Shareholder</w:t>
      </w:r>
      <w:r>
        <w:rPr>
          <w:rFonts w:ascii="Times New Roman" w:cs="Times New Roman" w:eastAsia="Times New Roman" w:hAnsi="Times New Roman"/>
          <w:sz w:val="14"/>
          <w:szCs w:val="14"/>
          <w:color w:val="auto"/>
        </w:rPr>
        <w:t>. Except as otherwise provided in the Class C Warrants and Class D Warrants or by virtue of such holder’s ownership of our shares of common stock, the holder of a Class 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Warrant or Class D Warrant does not have the rights or privileges of a holder of our common stock, including any voting rights, until the holder exercises the warrant.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Governing Law</w:t>
      </w:r>
      <w:r>
        <w:rPr>
          <w:rFonts w:ascii="Times New Roman" w:cs="Times New Roman" w:eastAsia="Times New Roman" w:hAnsi="Times New Roman"/>
          <w:sz w:val="14"/>
          <w:szCs w:val="14"/>
          <w:color w:val="auto"/>
        </w:rPr>
        <w:t>. The Class C Warrants, Class D Warrants, and warrant agreement are governed by New York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color w:val="auto"/>
        </w:rPr>
        <w:t>Maxim and Ascendiant February 2023 Warrants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connection with the February 2023 Offering, the Company issued (i) to Maxim Group LLC (“Maxim”), as the Company’s sole placement agent for the February 2023 Offering, 366 warrants to purchase shares of the Company’s common stock and (ii) to Ascendiant Capital Markets, LLC (“Ascendiant”), as a financial advisor to the Company in the February 2023 Offering, 65 warrants to purchase shares of the Company’s common stock (collectively, the “February 2023 Placement Agent Warrants”). The February 2023 Placement Agent Warrants will expire on February 7, 2028. The February 2023 Placement Agent Warrants are exercisable at a price of $1,232 per share, subject to adjustment for stock dividends, distributions, subdivisions, combinations, or reclassifications, and for certain dilutive issuances. Subject to limited exceptions, a holder of the February 2023 Placement Agent Warrants will not have the right to exercise any portion of the Placement Agent Warrants to the extent that, after giving effect to the exercise, the holder, together with its affiliates, and any other person acting as a group together with the holder or any of its affiliates, would beneficially own in excess of 4.99% of the number of shares of the Company’s common stock outstanding immediately after giving effect to its exercise. The holder, upon notice to the Company, may increase or decrease the beneficial ownership limitation provisions of the February 2023 Placement Agent Warrants, provided that in no event shall the limitation exceed 9.99% of the number of shares of our common stock outstanding immediately after giving effect to the exercise of the February 2023 Placement Agent Warrants. The February 2023 Placement Agent Warrants may be exercised as to all or a lesser number of shares of the Company’s common stock and contain certain demand registration rights and unlimited “piggyback” registration rights for a period of five years after February 7, 2023, at the Company’s expense. The Company relied on the exemption from registration available under Section 4(a)(2) of the Securities Act in connection with the issuance of the February 2023 Placement Agent Warrants to Maxim and Ascendiant.</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foregoing description of the February 2023 Placement Agent Warrants is not complete. For the complete terms of the Placement Agent Warrants, you should refer to the form of February 2023 Placement Agent Warrant filed as an exhibit to this registration statement.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Maxim and Ascendiant October 2022 Warrants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connection with the October 2022 Rights Offering, the Company issued (i) to Maxim, as the dealer-manager in the October 2022 Rights Offering, 53 warrants to purchase shares of the Company’s common stock and (ii) to Ascendiant, as a financial advisor to the Company in the October 2022 Rights Offering, 10 warrants to purchase shares of the Company’s common stock (collectively, the “Dealer Manager Warrants”). The Dealer Manager Warrants are non-exercisable for 6 months from October 17, 2022 and will expire on September 23, 2027. The Dealer Manager Warrants will be exercisable at a price of $3,322.40 per share, subject to adjustment for stock dividends, distributions, subdivisions, combinations, or reclassifications, and for certain dilutive issuances. Subject to limited exceptions, a holder of the Dealer Manager Warrants will not have the right to exercise any portion of the Dealer Manager Warrants to the extent that, after giving effect to the exercise, the holder, together with its affiliates, and any other person acting as a group together with the holder or any of its affiliates, would beneficially own in excess of 4.99% of the number of shares of the Company’s common stock outstanding immediately after giving effect to its exercise. The holder, upon notice to the Company, may increase or decrease the beneficial ownership limitation provisions of the Dealer Manager Warrants, provided that in no event shall the limitation exceed 9.99% of the number of shares of our common stock outstanding immediately after giving effect to the exercise of the Dealer Manager Warrants. In addition, the Dealer Manager Warrants shall not be redeemable and may not be sold, transferred, assigned, pledged or hypothecated or be the subject of any hedging, short sale, derivative, put, or call transaction for a period of 180 days following September 23, 2022, except that they may be assigned, in whole or in part, to any officer or partner of Maxim (or to Ascendiant). The Dealer Manager Warrants may be exercised as to all or a lesser number of shares of the Company’s common stock and contain unlimited “piggyback” registration rights for a period of five years after September 23, 2022, at the Company’s expense. The Company relied on the exemption from registration available under Section 4(a)(2) of the Securities Act in connection with the issuance of the Dealer Manager Warrants to Maxim and Ascendiant.</w:t>
      </w:r>
    </w:p>
    <w:p>
      <w:pPr>
        <w:spacing w:after="0" w:line="1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foregoing description of the Dealer Manager Warrants is not complete. For the complete terms of the Dealer Manager Warrants, you should refer to the form of Dealer Manager Warrant filed as an exhibit to the registration statement of which this prospectus forms a part.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Effects of Anti-Takeover Provisions of Our Amended and Restated Certificate of Incorporation, Our Amended and Restated Bylaws and Delaware Law</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provisions of (1) Delaware law, (2) our Amended and Restated Certificate of Incorporation and (3) our Amended and Restated Bylaws discussed below could discourage or make it more difficult to prevail in a proxy contest or effect other change in our management or the acquisition of control by a holder of a substantial amount of our voting stock. It is possible that these provisions could make it more difficult to accomplish, or could deter, transactions that stockholders may otherwise consider to be in their best interests or our best interests. These provisions are intended to enhance the likelihood of continuity and stability in the composition of our Board of Directors and in the policies formulated by the Board of Directors and to discourage certain types of transactions that may involve an actual or threatened change in control of our company. These provisions are designed to reduce our vulnerability to an unsolicited acquisition proposal. These provisions also are intended to discourage certain tactics that may be used in proxy fights. These provisions also may have the effect of preventing changes in our management.</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Delaware Statutory Business Combinations Provision. </w:t>
      </w:r>
      <w:r>
        <w:rPr>
          <w:rFonts w:ascii="Times New Roman" w:cs="Times New Roman" w:eastAsia="Times New Roman" w:hAnsi="Times New Roman"/>
          <w:sz w:val="14"/>
          <w:szCs w:val="14"/>
          <w:color w:val="auto"/>
        </w:rPr>
        <w:t>We are subject to the anti-takeover provisions of Section 203 of the Delaware General Corporation Law. In general, Section 203 prohibits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Classified Board of Directors; Appointment of Directors to Fill Vacancies; Removal of Directors for Cause. </w:t>
      </w:r>
      <w:r>
        <w:rPr>
          <w:rFonts w:ascii="Times New Roman" w:cs="Times New Roman" w:eastAsia="Times New Roman" w:hAnsi="Times New Roman"/>
          <w:sz w:val="14"/>
          <w:szCs w:val="14"/>
          <w:color w:val="auto"/>
        </w:rPr>
        <w:t>Our Amended and Restated Certificate of Incorporation provides that our Board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Directors will be divided into three classes as nearly equal in number as possible. Each year the stockholders will elect the members of one of the three classes to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any positions so created and is permitted to specify the class to which any new position is assigned. The person filling any of these positions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holders of at least 80% of our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w:t>
      </w:r>
    </w:p>
    <w:p>
      <w:pPr>
        <w:spacing w:after="0" w:line="1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Authorization of Blank Check Preferred Stock. </w:t>
      </w:r>
      <w:r>
        <w:rPr>
          <w:rFonts w:ascii="Times New Roman" w:cs="Times New Roman" w:eastAsia="Times New Roman" w:hAnsi="Times New Roman"/>
          <w:sz w:val="14"/>
          <w:szCs w:val="14"/>
          <w:color w:val="auto"/>
        </w:rPr>
        <w:t>Our Amended and Restated Certificate of Incorporation provides that our Board of Directors is authorized to issue, without stockholder approval, blank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check preferred stock. Blank check preferred stock can operate as a defensive measure known as a “poison pill” by diluting the stock ownership of a potential hostile acquirer to prevent an acquisition that is not approved by our Board of Directors.</w:t>
      </w:r>
    </w:p>
    <w:p>
      <w:pPr>
        <w:spacing w:after="0" w:line="1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Advance Notice Provisions for Stockholder Proposals and Stockholder Nominations of Directors</w:t>
      </w:r>
      <w:r>
        <w:rPr>
          <w:rFonts w:ascii="Times New Roman" w:cs="Times New Roman" w:eastAsia="Times New Roman" w:hAnsi="Times New Roman"/>
          <w:sz w:val="14"/>
          <w:szCs w:val="14"/>
          <w:color w:val="auto"/>
        </w:rPr>
        <w:t>. Our Amended and Restated Bylaws provide that, for nominations to the Board of Directors or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business to be properly brought by a stockholder before a meeting of stockholders, the stockholder must first have given timely notice of the proposal in writing to our Secretary. For an annual meeting, a stockholder’s notice generally must be delivered not less than 90 days nor more than 120 days prior to the anniversary of the mailing date of the proxy statement for the previous year’s annual meeting. For a special meeting, the notice must generally be delivered no less than 60 days nor more than 90 days prior to the special meeting or ten days following the day on which public announcement of the meeting is first made. Detailed requirements as to the form of the notice and information required in the notice are specified in our Amended and Restated Bylaws. If it is determined that business was not properly brought before a meeting in accordance with our Amended and Restated Bylaws provisions, this business will not be conducted at the meeting.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Special Meetings of Stockholders. </w:t>
      </w:r>
      <w:r>
        <w:rPr>
          <w:rFonts w:ascii="Times New Roman" w:cs="Times New Roman" w:eastAsia="Times New Roman" w:hAnsi="Times New Roman"/>
          <w:sz w:val="14"/>
          <w:szCs w:val="14"/>
          <w:color w:val="auto"/>
        </w:rPr>
        <w:t>Special meetings of the stockholders may be called only by our Board of Directors pursuant to a resolution adopted by a majority of the total number of directors.</w:t>
      </w:r>
    </w:p>
    <w:p>
      <w:pPr>
        <w:spacing w:after="0" w:line="17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i w:val="1"/>
          <w:iCs w:val="1"/>
          <w:color w:val="auto"/>
        </w:rPr>
        <w:t xml:space="preserve">No Stockholder Action by Written Consent. </w:t>
      </w:r>
      <w:r>
        <w:rPr>
          <w:rFonts w:ascii="Times New Roman" w:cs="Times New Roman" w:eastAsia="Times New Roman" w:hAnsi="Times New Roman"/>
          <w:sz w:val="14"/>
          <w:szCs w:val="14"/>
          <w:color w:val="auto"/>
        </w:rPr>
        <w:t>Our Amended and Restated Certificate of Incorporation does not permit our stockholders to act by written consent. As a result, any action to be effected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stockholders must be effected at a duly called annual or special meeting of the stockholders.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Super-Majority Stockholder Vote required for Certain Actions. </w:t>
      </w:r>
      <w:r>
        <w:rPr>
          <w:rFonts w:ascii="Times New Roman" w:cs="Times New Roman" w:eastAsia="Times New Roman" w:hAnsi="Times New Roman"/>
          <w:sz w:val="14"/>
          <w:szCs w:val="14"/>
          <w:color w:val="auto"/>
        </w:rPr>
        <w:t>The Delaware General Corporation Law provides generally that the affirmative vote of a majority of the shares entitled to vote on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matter is required to amend a corporation’s certificate of incorporation or bylaws, unless the corporation’s certificate of incorporation or bylaws, as the case may be, requires a greater percentage. Our Amended and Restated Certificate of Incorporation requires the affirmative vote of the holders of at least 80% of our outstanding voting stock to amend or repeal any of the provisions discussed in this section of this prospectus entitled “Effect of Anti-Takeover Provisions of Our Amended and Restated Certificate of Incorporation, Our Amended and Restated Bylaws and Delaware Law” or to reduce the number of authorized shares of common stock or preferred stock. This 80% stockholder vote would be in addition to any separate class vote that might in the future be required pursuant to the terms of any preferred stock that might then be outstanding. A 80% vote is also required for any amendment to, or repeal of, our Amended and Restated Bylaws by the stockholders. Our Amended and Restated Bylaws may be amended or repealed by a simple majority vote of the Board of Directors.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Potential Effects of Authorized but Unissued Stock</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We have shares of common stock and preferred stock available for future issuance without stockholder approval. We may utilize these additional shares for a variety of corporate purposes, including future public offerings to raise additional capital, to facilitate corporate acquisitions or payment as a dividend on the capital stock.</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existence of unissued and unreserved common stock and preferred stock may enable our Board of Directors to issue shares to persons friendly to current management or to issue preferred stock with terms that could render more difficult or discourage a third-party attempt to obtain control of us by means of a merger, tender offer, proxy contest or otherwise, thereby protecting the continuity of our management. In addition, the Board of Directors has the discretion to determine designations, rights, preferences, privileges and restrictions, including voting rights, dividend rights, conversion rights, redemption privileges and liquidation preferences of each series of preferred stock, all to the fullest extent permissible under the Delaware General Corporation Law and subject to any limitations set forth in our Amended and Restated Certificate of Incorporation. The purpose of authorizing the Board of Directors to issue preferred stock and to determine the rights and preferences applicable to such preferred stock is to eliminate delays associated with a stockholder vote on specific issuances. The issuance of preferred stock, while providing desirable flexibility in connection with possible financings, acquisitions and other corporate purposes, could have the effect of making it more difficult for a third-party to acquire, or could discourage a third-party from acquiring, a majority of our outstanding voting stock.</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Shares being offered by the selling stockholders are those previously issued to the selling stockholders and those issuable to the selling stockholders upon exercise of the Warrants. For additional information regarding the issuances of those Common Shares, Compensation Shares, and Warrants, see “The Class A Warrants and Class B Warrants issued in the Private Placement” above. We are registering the Shares of common stock in order to permit the selling stockholders to offer the Shares for resale from time to time. Except for the ownership of the Shares and the Warrants, the selling stockholders have not had any material relationship with us within the past three years.</w:t>
      </w:r>
    </w:p>
    <w:p>
      <w:pPr>
        <w:spacing w:after="0" w:line="14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w:t>
      </w:r>
    </w:p>
    <w:p>
      <w:pPr>
        <w:spacing w:after="0" w:line="30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table below lists the selling stockholders and other information regarding the beneficial ownership of the shares of common stock by each of the selling stockholders. The second column lists the number of shares of common stock beneficially owned by each selling stockholder, based on its ownership of the Share and Warrants, as of June 22, 2026, assuming exercise of the Warrants held by the selling stockholders on that date, without regard to any limitations on exercises.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third column lists the shares of common stock being offered by this prospectus by the selling stockholders.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accordance with the terms of a registration rights agreement with the selling stockholders, this prospectus generally covers the resale of the sum of (i) the number of shares of common stock issued to the selling stockholders in the Private Placement described above and (ii) the maximum number of shares of common stock issuable upon exercise of the related Warrants, determined as if the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The fourth column assumes the sale of all of the Shares offered by the selling stockholders pursuant to this prospectus.</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terms of the Warrants, a selling stockholder may not exercise the Warrants to the extent such exercise would cause such selling stockholder,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exercise of such Warrants which have not been exercised. The number of shares in the second and fourth columns do not reflect this limitation. The selling stockholders may sell all, some or none of their shares in this offering. See “Plan of Distribution.”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ownership percentage indicated in the following table is based on 6,357,630 total outstanding shares of our common stock as of June 22, 2026.</w:t>
      </w:r>
    </w:p>
    <w:p>
      <w:pPr>
        <w:spacing w:after="0" w:line="1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In computing the number of shares of common stock beneficially owned by the selling stockholder and the percentage ownership, we included outstanding shares of common stock issuable upon exercise of the Warrants that are currently exercisable or exercisable within 60 days of June 22, 2026.</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44"/>
        </w:trPr>
        <w:tc>
          <w:tcPr>
            <w:tcW w:w="4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rPr>
              <w:t>Shares Beneficially</w:t>
            </w:r>
          </w:p>
        </w:tc>
        <w:tc>
          <w:tcPr>
            <w:tcW w:w="1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40" w:type="dxa"/>
            <w:vAlign w:val="bottom"/>
            <w:gridSpan w:val="4"/>
          </w:tcPr>
          <w:p>
            <w:pPr>
              <w:ind w:left="1040"/>
              <w:spacing w:after="0" w:line="144" w:lineRule="exact"/>
              <w:rPr>
                <w:sz w:val="20"/>
                <w:szCs w:val="20"/>
                <w:color w:val="auto"/>
              </w:rPr>
            </w:pPr>
            <w:r>
              <w:rPr>
                <w:rFonts w:ascii="Times New Roman" w:cs="Times New Roman" w:eastAsia="Times New Roman" w:hAnsi="Times New Roman"/>
                <w:sz w:val="14"/>
                <w:szCs w:val="14"/>
                <w:b w:val="1"/>
                <w:bCs w:val="1"/>
                <w:color w:val="auto"/>
              </w:rPr>
              <w:t>Shares Beneficially</w:t>
            </w:r>
          </w:p>
        </w:tc>
        <w:tc>
          <w:tcPr>
            <w:tcW w:w="120" w:type="dxa"/>
            <w:vAlign w:val="bottom"/>
          </w:tcPr>
          <w:p>
            <w:pPr>
              <w:spacing w:after="0"/>
              <w:rPr>
                <w:sz w:val="12"/>
                <w:szCs w:val="12"/>
                <w:color w:val="auto"/>
              </w:rPr>
            </w:pPr>
          </w:p>
        </w:tc>
      </w:tr>
      <w:tr>
        <w:trPr>
          <w:trHeight w:val="170"/>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Owned Prior to the</w:t>
            </w: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2180" w:type="dxa"/>
            <w:vAlign w:val="bottom"/>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6"/>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 Being</w:t>
            </w:r>
          </w:p>
        </w:tc>
        <w:tc>
          <w:tcPr>
            <w:tcW w:w="21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w w:val="99"/>
              </w:rPr>
              <w:t>After the Offering</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44"/>
        </w:trPr>
        <w:tc>
          <w:tcPr>
            <w:tcW w:w="4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8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rPr>
              <w:t>Registered</w:t>
            </w:r>
          </w:p>
        </w:tc>
        <w:tc>
          <w:tcPr>
            <w:tcW w:w="2180" w:type="dxa"/>
            <w:vAlign w:val="bottom"/>
            <w:gridSpan w:val="3"/>
          </w:tcPr>
          <w:p>
            <w:pPr>
              <w:ind w:left="400"/>
              <w:spacing w:after="0" w:line="14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6"/>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Resale</w:t>
            </w:r>
          </w:p>
        </w:tc>
        <w:tc>
          <w:tcPr>
            <w:tcW w:w="3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Borders>
              <w:bottom w:val="single" w:sz="8" w:color="CCEEFF"/>
            </w:tcBorders>
          </w:tcPr>
          <w:p>
            <w:pPr>
              <w:spacing w:after="0"/>
              <w:rPr>
                <w:sz w:val="16"/>
                <w:szCs w:val="16"/>
                <w:color w:val="auto"/>
              </w:rPr>
            </w:pPr>
          </w:p>
        </w:tc>
      </w:tr>
      <w:tr>
        <w:trPr>
          <w:trHeight w:val="192"/>
        </w:trPr>
        <w:tc>
          <w:tcPr>
            <w:tcW w:w="40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4"/>
                <w:szCs w:val="14"/>
                <w:color w:val="auto"/>
              </w:rPr>
              <w:t xml:space="preserve">Lyton-Kambara Foundation </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1,506,276</w:t>
            </w:r>
          </w:p>
        </w:tc>
        <w:tc>
          <w:tcPr>
            <w:tcW w:w="178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w w:val="96"/>
              </w:rPr>
              <w:t>*%</w:t>
            </w:r>
          </w:p>
        </w:tc>
      </w:tr>
      <w:tr>
        <w:trPr>
          <w:trHeight w:val="159"/>
        </w:trPr>
        <w:tc>
          <w:tcPr>
            <w:tcW w:w="430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The Nina Gorrissen 2014 Trust FBO Michael M. Kellen and His</w:t>
            </w:r>
          </w:p>
        </w:tc>
        <w:tc>
          <w:tcPr>
            <w:tcW w:w="1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2"/>
        </w:trPr>
        <w:tc>
          <w:tcPr>
            <w:tcW w:w="4300" w:type="dxa"/>
            <w:vAlign w:val="bottom"/>
            <w:gridSpan w:val="2"/>
          </w:tcPr>
          <w:p>
            <w:pPr>
              <w:spacing w:after="0" w:line="212" w:lineRule="exact"/>
              <w:rPr>
                <w:sz w:val="20"/>
                <w:szCs w:val="20"/>
                <w:color w:val="auto"/>
              </w:rPr>
            </w:pPr>
            <w:r>
              <w:rPr>
                <w:rFonts w:ascii="Times New Roman" w:cs="Times New Roman" w:eastAsia="Times New Roman" w:hAnsi="Times New Roman"/>
                <w:sz w:val="14"/>
                <w:szCs w:val="14"/>
                <w:color w:val="auto"/>
              </w:rPr>
              <w:t xml:space="preserve">Descendants </w:t>
            </w:r>
            <w:r>
              <w:rPr>
                <w:rFonts w:ascii="Times New Roman" w:cs="Times New Roman" w:eastAsia="Times New Roman" w:hAnsi="Times New Roman"/>
                <w:sz w:val="23"/>
                <w:szCs w:val="23"/>
                <w:color w:val="auto"/>
                <w:vertAlign w:val="superscript"/>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1,569,038</w:t>
            </w:r>
          </w:p>
        </w:tc>
        <w:tc>
          <w:tcPr>
            <w:tcW w:w="178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8"/>
                <w:szCs w:val="18"/>
                <w:color w:val="auto"/>
              </w:rPr>
            </w:pPr>
          </w:p>
        </w:tc>
        <w:tc>
          <w:tcPr>
            <w:tcW w:w="11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w w:val="96"/>
              </w:rPr>
              <w:t>*%</w:t>
            </w:r>
          </w:p>
        </w:tc>
      </w:tr>
      <w:tr>
        <w:trPr>
          <w:trHeight w:val="201"/>
        </w:trPr>
        <w:tc>
          <w:tcPr>
            <w:tcW w:w="43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4"/>
                <w:szCs w:val="14"/>
                <w:color w:val="auto"/>
              </w:rPr>
              <w:t xml:space="preserve">Stonepine Capital, LP </w:t>
            </w:r>
            <w:r>
              <w:rPr>
                <w:rFonts w:ascii="Times New Roman" w:cs="Times New Roman" w:eastAsia="Times New Roman" w:hAnsi="Times New Roman"/>
                <w:sz w:val="23"/>
                <w:szCs w:val="23"/>
                <w:color w:val="auto"/>
                <w:vertAlign w:val="superscript"/>
              </w:rPr>
              <w:t>(3)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627,615</w:t>
            </w:r>
          </w:p>
        </w:tc>
        <w:tc>
          <w:tcPr>
            <w:tcW w:w="178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w w:val="96"/>
              </w:rPr>
              <w:t>*%</w:t>
            </w:r>
          </w:p>
        </w:tc>
      </w:tr>
      <w:tr>
        <w:trPr>
          <w:trHeight w:val="201"/>
        </w:trPr>
        <w:tc>
          <w:tcPr>
            <w:tcW w:w="4300" w:type="dxa"/>
            <w:vAlign w:val="bottom"/>
            <w:gridSpan w:val="2"/>
          </w:tcPr>
          <w:p>
            <w:pPr>
              <w:spacing w:after="0" w:line="201" w:lineRule="exact"/>
              <w:rPr>
                <w:sz w:val="20"/>
                <w:szCs w:val="20"/>
                <w:color w:val="auto"/>
              </w:rPr>
            </w:pPr>
            <w:r>
              <w:rPr>
                <w:rFonts w:ascii="Times New Roman" w:cs="Times New Roman" w:eastAsia="Times New Roman" w:hAnsi="Times New Roman"/>
                <w:sz w:val="14"/>
                <w:szCs w:val="14"/>
                <w:color w:val="auto"/>
              </w:rPr>
              <w:t xml:space="preserve">John Francis </w:t>
            </w:r>
            <w:r>
              <w:rPr>
                <w:rFonts w:ascii="Times New Roman" w:cs="Times New Roman" w:eastAsia="Times New Roman" w:hAnsi="Times New Roman"/>
                <w:sz w:val="23"/>
                <w:szCs w:val="23"/>
                <w:color w:val="auto"/>
                <w:vertAlign w:val="superscript"/>
              </w:rPr>
              <w:t>(4)</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251,046</w:t>
            </w:r>
          </w:p>
        </w:tc>
        <w:tc>
          <w:tcPr>
            <w:tcW w:w="178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1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w w:val="96"/>
              </w:rPr>
              <w:t>*%</w:t>
            </w:r>
          </w:p>
        </w:tc>
      </w:tr>
      <w:tr>
        <w:trPr>
          <w:trHeight w:val="201"/>
        </w:trPr>
        <w:tc>
          <w:tcPr>
            <w:tcW w:w="43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4"/>
                <w:szCs w:val="14"/>
                <w:color w:val="auto"/>
              </w:rPr>
              <w:t xml:space="preserve">Peter Martin </w:t>
            </w:r>
            <w:r>
              <w:rPr>
                <w:rFonts w:ascii="Times New Roman" w:cs="Times New Roman" w:eastAsia="Times New Roman" w:hAnsi="Times New Roman"/>
                <w:sz w:val="23"/>
                <w:szCs w:val="23"/>
                <w:color w:val="auto"/>
                <w:vertAlign w:val="superscript"/>
              </w:rPr>
              <w:t>(5)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125,523</w:t>
            </w:r>
          </w:p>
        </w:tc>
        <w:tc>
          <w:tcPr>
            <w:tcW w:w="178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w w:val="96"/>
              </w:rPr>
              <w:t>*%</w:t>
            </w:r>
          </w:p>
        </w:tc>
      </w:tr>
      <w:tr>
        <w:trPr>
          <w:trHeight w:val="201"/>
        </w:trPr>
        <w:tc>
          <w:tcPr>
            <w:tcW w:w="4300" w:type="dxa"/>
            <w:vAlign w:val="bottom"/>
            <w:gridSpan w:val="2"/>
          </w:tcPr>
          <w:p>
            <w:pPr>
              <w:spacing w:after="0" w:line="201" w:lineRule="exact"/>
              <w:rPr>
                <w:sz w:val="20"/>
                <w:szCs w:val="20"/>
                <w:color w:val="auto"/>
              </w:rPr>
            </w:pPr>
            <w:r>
              <w:rPr>
                <w:rFonts w:ascii="Times New Roman" w:cs="Times New Roman" w:eastAsia="Times New Roman" w:hAnsi="Times New Roman"/>
                <w:sz w:val="14"/>
                <w:szCs w:val="14"/>
                <w:color w:val="auto"/>
              </w:rPr>
              <w:t xml:space="preserve">D. Kent Lance, Jr. </w:t>
            </w:r>
            <w:r>
              <w:rPr>
                <w:rFonts w:ascii="Times New Roman" w:cs="Times New Roman" w:eastAsia="Times New Roman" w:hAnsi="Times New Roman"/>
                <w:sz w:val="23"/>
                <w:szCs w:val="23"/>
                <w:color w:val="auto"/>
                <w:vertAlign w:val="superscript"/>
              </w:rPr>
              <w:t>(6)</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627,615</w:t>
            </w:r>
          </w:p>
        </w:tc>
        <w:tc>
          <w:tcPr>
            <w:tcW w:w="178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1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w w:val="96"/>
              </w:rPr>
              <w:t>*%</w:t>
            </w:r>
          </w:p>
        </w:tc>
      </w:tr>
      <w:tr>
        <w:trPr>
          <w:trHeight w:val="201"/>
        </w:trPr>
        <w:tc>
          <w:tcPr>
            <w:tcW w:w="43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4"/>
                <w:szCs w:val="14"/>
                <w:color w:val="auto"/>
              </w:rPr>
              <w:t xml:space="preserve">Red Hook Fund LP </w:t>
            </w:r>
            <w:r>
              <w:rPr>
                <w:rFonts w:ascii="Times New Roman" w:cs="Times New Roman" w:eastAsia="Times New Roman" w:hAnsi="Times New Roman"/>
                <w:sz w:val="23"/>
                <w:szCs w:val="23"/>
                <w:color w:val="auto"/>
                <w:vertAlign w:val="superscript"/>
              </w:rPr>
              <w:t>(7)</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125,523</w:t>
            </w:r>
          </w:p>
        </w:tc>
        <w:tc>
          <w:tcPr>
            <w:tcW w:w="178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w w:val="96"/>
              </w:rPr>
              <w:t>*%</w:t>
            </w:r>
          </w:p>
        </w:tc>
      </w:tr>
      <w:tr>
        <w:trPr>
          <w:trHeight w:val="201"/>
        </w:trPr>
        <w:tc>
          <w:tcPr>
            <w:tcW w:w="4300" w:type="dxa"/>
            <w:vAlign w:val="bottom"/>
            <w:gridSpan w:val="2"/>
          </w:tcPr>
          <w:p>
            <w:pPr>
              <w:spacing w:after="0" w:line="201" w:lineRule="exact"/>
              <w:rPr>
                <w:sz w:val="20"/>
                <w:szCs w:val="20"/>
                <w:color w:val="auto"/>
              </w:rPr>
            </w:pPr>
            <w:r>
              <w:rPr>
                <w:rFonts w:ascii="Times New Roman" w:cs="Times New Roman" w:eastAsia="Times New Roman" w:hAnsi="Times New Roman"/>
                <w:sz w:val="14"/>
                <w:szCs w:val="14"/>
                <w:color w:val="auto"/>
              </w:rPr>
              <w:t xml:space="preserve">Clamantis Holdings, LLC </w:t>
            </w:r>
            <w:r>
              <w:rPr>
                <w:rFonts w:ascii="Times New Roman" w:cs="Times New Roman" w:eastAsia="Times New Roman" w:hAnsi="Times New Roman"/>
                <w:sz w:val="23"/>
                <w:szCs w:val="23"/>
                <w:color w:val="auto"/>
                <w:vertAlign w:val="superscript"/>
              </w:rPr>
              <w:t>(8)</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313,809</w:t>
            </w:r>
          </w:p>
        </w:tc>
        <w:tc>
          <w:tcPr>
            <w:tcW w:w="178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1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w w:val="96"/>
              </w:rPr>
              <w:t>*%</w:t>
            </w:r>
          </w:p>
        </w:tc>
      </w:tr>
      <w:tr>
        <w:trPr>
          <w:trHeight w:val="201"/>
        </w:trPr>
        <w:tc>
          <w:tcPr>
            <w:tcW w:w="43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4"/>
                <w:szCs w:val="14"/>
                <w:color w:val="auto"/>
              </w:rPr>
              <w:t xml:space="preserve">Thomas A. Opalka </w:t>
            </w:r>
            <w:r>
              <w:rPr>
                <w:rFonts w:ascii="Times New Roman" w:cs="Times New Roman" w:eastAsia="Times New Roman" w:hAnsi="Times New Roman"/>
                <w:sz w:val="23"/>
                <w:szCs w:val="23"/>
                <w:color w:val="auto"/>
                <w:vertAlign w:val="superscript"/>
              </w:rPr>
              <w:t>(9)</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125,523</w:t>
            </w:r>
          </w:p>
        </w:tc>
        <w:tc>
          <w:tcPr>
            <w:tcW w:w="178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w w:val="96"/>
              </w:rPr>
              <w:t>*%</w:t>
            </w:r>
          </w:p>
        </w:tc>
      </w:tr>
      <w:tr>
        <w:trPr>
          <w:trHeight w:val="201"/>
        </w:trPr>
        <w:tc>
          <w:tcPr>
            <w:tcW w:w="4300" w:type="dxa"/>
            <w:vAlign w:val="bottom"/>
            <w:gridSpan w:val="2"/>
          </w:tcPr>
          <w:p>
            <w:pPr>
              <w:spacing w:after="0" w:line="201" w:lineRule="exact"/>
              <w:rPr>
                <w:sz w:val="20"/>
                <w:szCs w:val="20"/>
                <w:color w:val="auto"/>
              </w:rPr>
            </w:pPr>
            <w:r>
              <w:rPr>
                <w:rFonts w:ascii="Times New Roman" w:cs="Times New Roman" w:eastAsia="Times New Roman" w:hAnsi="Times New Roman"/>
                <w:sz w:val="14"/>
                <w:szCs w:val="14"/>
                <w:color w:val="auto"/>
              </w:rPr>
              <w:t xml:space="preserve">Northbank Small Cap Alpha Fund, LP </w:t>
            </w:r>
            <w:r>
              <w:rPr>
                <w:rFonts w:ascii="Times New Roman" w:cs="Times New Roman" w:eastAsia="Times New Roman" w:hAnsi="Times New Roman"/>
                <w:sz w:val="23"/>
                <w:szCs w:val="23"/>
                <w:color w:val="auto"/>
                <w:vertAlign w:val="superscript"/>
              </w:rPr>
              <w:t>(10)</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376,569</w:t>
            </w:r>
          </w:p>
        </w:tc>
        <w:tc>
          <w:tcPr>
            <w:tcW w:w="178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1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w w:val="96"/>
              </w:rPr>
              <w:t>*%</w:t>
            </w:r>
          </w:p>
        </w:tc>
      </w:tr>
      <w:tr>
        <w:trPr>
          <w:trHeight w:val="201"/>
        </w:trPr>
        <w:tc>
          <w:tcPr>
            <w:tcW w:w="43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4"/>
                <w:szCs w:val="14"/>
                <w:color w:val="auto"/>
              </w:rPr>
              <w:t xml:space="preserve">Arcadia Securities, LLC </w:t>
            </w:r>
            <w:r>
              <w:rPr>
                <w:rFonts w:ascii="Times New Roman" w:cs="Times New Roman" w:eastAsia="Times New Roman" w:hAnsi="Times New Roman"/>
                <w:sz w:val="23"/>
                <w:szCs w:val="23"/>
                <w:color w:val="auto"/>
                <w:vertAlign w:val="superscript"/>
              </w:rPr>
              <w:t>(11)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15,642</w:t>
            </w:r>
          </w:p>
        </w:tc>
        <w:tc>
          <w:tcPr>
            <w:tcW w:w="178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7"/>
                <w:szCs w:val="17"/>
                <w:color w:val="auto"/>
              </w:rPr>
            </w:pPr>
          </w:p>
        </w:tc>
      </w:tr>
      <w:tr>
        <w:trPr>
          <w:trHeight w:val="201"/>
        </w:trPr>
        <w:tc>
          <w:tcPr>
            <w:tcW w:w="4300" w:type="dxa"/>
            <w:vAlign w:val="bottom"/>
            <w:gridSpan w:val="2"/>
          </w:tcPr>
          <w:p>
            <w:pPr>
              <w:spacing w:after="0" w:line="201" w:lineRule="exact"/>
              <w:rPr>
                <w:sz w:val="20"/>
                <w:szCs w:val="20"/>
                <w:color w:val="auto"/>
              </w:rPr>
            </w:pPr>
            <w:r>
              <w:rPr>
                <w:rFonts w:ascii="Times New Roman" w:cs="Times New Roman" w:eastAsia="Times New Roman" w:hAnsi="Times New Roman"/>
                <w:sz w:val="14"/>
                <w:szCs w:val="14"/>
                <w:color w:val="auto"/>
              </w:rPr>
              <w:t xml:space="preserve">Kurt Ruehman </w:t>
            </w:r>
            <w:r>
              <w:rPr>
                <w:rFonts w:ascii="Times New Roman" w:cs="Times New Roman" w:eastAsia="Times New Roman" w:hAnsi="Times New Roman"/>
                <w:sz w:val="23"/>
                <w:szCs w:val="23"/>
                <w:color w:val="auto"/>
                <w:vertAlign w:val="superscript"/>
              </w:rPr>
              <w:t>(12)</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2,500</w:t>
            </w:r>
          </w:p>
        </w:tc>
        <w:tc>
          <w:tcPr>
            <w:tcW w:w="178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06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7"/>
                <w:szCs w:val="17"/>
                <w:color w:val="auto"/>
              </w:rPr>
            </w:pPr>
          </w:p>
        </w:tc>
      </w:tr>
      <w:tr>
        <w:trPr>
          <w:trHeight w:val="201"/>
        </w:trPr>
        <w:tc>
          <w:tcPr>
            <w:tcW w:w="43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4"/>
                <w:szCs w:val="14"/>
                <w:color w:val="auto"/>
              </w:rPr>
              <w:t xml:space="preserve">Daniel Weston </w:t>
            </w:r>
            <w:r>
              <w:rPr>
                <w:rFonts w:ascii="Times New Roman" w:cs="Times New Roman" w:eastAsia="Times New Roman" w:hAnsi="Times New Roman"/>
                <w:sz w:val="23"/>
                <w:szCs w:val="23"/>
                <w:color w:val="auto"/>
                <w:vertAlign w:val="superscript"/>
              </w:rPr>
              <w:t>(13)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60,070</w:t>
            </w:r>
          </w:p>
        </w:tc>
        <w:tc>
          <w:tcPr>
            <w:tcW w:w="178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7"/>
                <w:szCs w:val="17"/>
                <w:color w:val="auto"/>
              </w:rPr>
            </w:pPr>
          </w:p>
        </w:tc>
      </w:tr>
      <w:tr>
        <w:trPr>
          <w:trHeight w:val="201"/>
        </w:trPr>
        <w:tc>
          <w:tcPr>
            <w:tcW w:w="4300" w:type="dxa"/>
            <w:vAlign w:val="bottom"/>
            <w:gridSpan w:val="2"/>
          </w:tcPr>
          <w:p>
            <w:pPr>
              <w:spacing w:after="0" w:line="201" w:lineRule="exact"/>
              <w:rPr>
                <w:sz w:val="20"/>
                <w:szCs w:val="20"/>
                <w:color w:val="auto"/>
              </w:rPr>
            </w:pPr>
            <w:r>
              <w:rPr>
                <w:rFonts w:ascii="Times New Roman" w:cs="Times New Roman" w:eastAsia="Times New Roman" w:hAnsi="Times New Roman"/>
                <w:sz w:val="14"/>
                <w:szCs w:val="14"/>
                <w:color w:val="auto"/>
              </w:rPr>
              <w:t>Michael Vasinkevich</w:t>
            </w:r>
            <w:r>
              <w:rPr>
                <w:rFonts w:ascii="Times New Roman" w:cs="Times New Roman" w:eastAsia="Times New Roman" w:hAnsi="Times New Roman"/>
                <w:sz w:val="23"/>
                <w:szCs w:val="23"/>
                <w:color w:val="auto"/>
                <w:vertAlign w:val="superscript"/>
              </w:rPr>
              <w:t>(14)</w:t>
            </w: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188,311</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59,362</w:t>
            </w: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43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4"/>
                <w:szCs w:val="14"/>
                <w:color w:val="auto"/>
              </w:rPr>
              <w:t>Noam Rubinstein</w:t>
            </w:r>
            <w:r>
              <w:rPr>
                <w:rFonts w:ascii="Times New Roman" w:cs="Times New Roman" w:eastAsia="Times New Roman" w:hAnsi="Times New Roman"/>
                <w:sz w:val="23"/>
                <w:szCs w:val="23"/>
                <w:color w:val="auto"/>
                <w:vertAlign w:val="superscript"/>
              </w:rPr>
              <w:t>(14)</w:t>
            </w: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92,504</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29,160</w:t>
            </w: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1"/>
        </w:trPr>
        <w:tc>
          <w:tcPr>
            <w:tcW w:w="4300" w:type="dxa"/>
            <w:vAlign w:val="bottom"/>
            <w:gridSpan w:val="2"/>
          </w:tcPr>
          <w:p>
            <w:pPr>
              <w:spacing w:after="0" w:line="201" w:lineRule="exact"/>
              <w:rPr>
                <w:sz w:val="20"/>
                <w:szCs w:val="20"/>
                <w:color w:val="auto"/>
              </w:rPr>
            </w:pPr>
            <w:r>
              <w:rPr>
                <w:rFonts w:ascii="Times New Roman" w:cs="Times New Roman" w:eastAsia="Times New Roman" w:hAnsi="Times New Roman"/>
                <w:sz w:val="14"/>
                <w:szCs w:val="14"/>
                <w:color w:val="auto"/>
              </w:rPr>
              <w:t>Craig Schwabe</w:t>
            </w:r>
            <w:r>
              <w:rPr>
                <w:rFonts w:ascii="Times New Roman" w:cs="Times New Roman" w:eastAsia="Times New Roman" w:hAnsi="Times New Roman"/>
                <w:sz w:val="23"/>
                <w:szCs w:val="23"/>
                <w:color w:val="auto"/>
                <w:vertAlign w:val="superscript"/>
              </w:rPr>
              <w:t>(14)</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9,910</w:t>
            </w:r>
          </w:p>
        </w:tc>
        <w:tc>
          <w:tcPr>
            <w:tcW w:w="360" w:type="dxa"/>
            <w:vAlign w:val="bottom"/>
          </w:tcPr>
          <w:p>
            <w:pPr>
              <w:spacing w:after="0"/>
              <w:rPr>
                <w:sz w:val="17"/>
                <w:szCs w:val="17"/>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3,125</w:t>
            </w: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43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4"/>
                <w:szCs w:val="14"/>
                <w:color w:val="auto"/>
              </w:rPr>
              <w:t>Charles Worthman</w:t>
            </w:r>
            <w:r>
              <w:rPr>
                <w:rFonts w:ascii="Times New Roman" w:cs="Times New Roman" w:eastAsia="Times New Roman" w:hAnsi="Times New Roman"/>
                <w:sz w:val="23"/>
                <w:szCs w:val="23"/>
                <w:color w:val="auto"/>
                <w:vertAlign w:val="superscript"/>
              </w:rPr>
              <w:t>(14)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w:t>
            </w:r>
          </w:p>
        </w:tc>
        <w:tc>
          <w:tcPr>
            <w:tcW w:w="36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926</w:t>
            </w: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bl>
    <w:p>
      <w:pPr>
        <w:spacing w:after="0" w:line="155" w:lineRule="exact"/>
        <w:rPr>
          <w:sz w:val="20"/>
          <w:szCs w:val="20"/>
          <w:color w:val="auto"/>
        </w:rPr>
      </w:pPr>
    </w:p>
    <w:p>
      <w:pPr>
        <w:ind w:left="260" w:hanging="255"/>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23" w:lineRule="exact"/>
        <w:rPr>
          <w:sz w:val="20"/>
          <w:szCs w:val="20"/>
          <w:color w:val="auto"/>
        </w:rPr>
      </w:pPr>
    </w:p>
    <w:p>
      <w:pPr>
        <w:ind w:left="260" w:hanging="255"/>
        <w:spacing w:after="0" w:line="265" w:lineRule="auto"/>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502,092 Common Shares, (ii) 502,092 Class A Warrant Shares, and (iii) 502,092 Class B Warrant Shares. The business address of Lyton-Kambara Foundation is 467 Central Park West 17A, New York, NY 10025.</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26" w:name="page27"/>
    <w:bookmarkEnd w:id="26"/>
    <w:p>
      <w:pPr>
        <w:ind w:left="260" w:hanging="255"/>
        <w:spacing w:after="0" w:line="263" w:lineRule="auto"/>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523,013 Common Shares, (ii) 523,013 Class A Warrant Shares, and (iii) 523,013 Class B Warrant Shares. The business address of The Nina Gorrissen 2014 Trust FBO Michael M. Kellen and His Descendants is c/o Bleichroeder LP, 1345 Ave of the Americas, 48th Flr, New York, NY 10105.</w:t>
      </w:r>
    </w:p>
    <w:p>
      <w:pPr>
        <w:ind w:left="260" w:hanging="255"/>
        <w:spacing w:after="0" w:line="252" w:lineRule="auto"/>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209,205 Common Shares, (ii) 209,205 Class A Warrant Shares, and (iii) 209,205 Class B Warrant Shares. The business address of Stonepine Capital, LP is 475 Gate 5 Road, Ste. 324, Sausalito, CA 94965.</w:t>
      </w:r>
    </w:p>
    <w:p>
      <w:pPr>
        <w:spacing w:after="0" w:line="1" w:lineRule="exact"/>
        <w:rPr>
          <w:rFonts w:ascii="Times New Roman" w:cs="Times New Roman" w:eastAsia="Times New Roman" w:hAnsi="Times New Roman"/>
          <w:sz w:val="14"/>
          <w:szCs w:val="14"/>
          <w:color w:val="auto"/>
        </w:rPr>
      </w:pPr>
    </w:p>
    <w:p>
      <w:pPr>
        <w:ind w:left="260" w:hanging="255"/>
        <w:spacing w:after="0" w:line="252" w:lineRule="auto"/>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83,682 Common Shares, (ii) 83,682 Class A Warrant Shares, and (iii) 83,682 Class B Warrant Shares. The business address of Mr. John Francis is 30 24th Avenue, Venice Beach, CA 90291.</w:t>
      </w:r>
    </w:p>
    <w:p>
      <w:pPr>
        <w:spacing w:after="0" w:line="1" w:lineRule="exact"/>
        <w:rPr>
          <w:rFonts w:ascii="Times New Roman" w:cs="Times New Roman" w:eastAsia="Times New Roman" w:hAnsi="Times New Roman"/>
          <w:sz w:val="14"/>
          <w:szCs w:val="14"/>
          <w:color w:val="auto"/>
        </w:rPr>
      </w:pPr>
    </w:p>
    <w:p>
      <w:pPr>
        <w:ind w:left="260" w:hanging="255"/>
        <w:spacing w:after="0" w:line="252" w:lineRule="auto"/>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41,841 Common Shares, (ii) 41,841 Class A Warrant Shares, and (iii) 41,841 Class B Warrant Shares. The business address of Mr. Peter Martin is 2198 NW 62nd Drive, Boca Raton, FL 33496.</w:t>
      </w:r>
    </w:p>
    <w:p>
      <w:pPr>
        <w:spacing w:after="0" w:line="1" w:lineRule="exact"/>
        <w:rPr>
          <w:rFonts w:ascii="Times New Roman" w:cs="Times New Roman" w:eastAsia="Times New Roman" w:hAnsi="Times New Roman"/>
          <w:sz w:val="14"/>
          <w:szCs w:val="14"/>
          <w:color w:val="auto"/>
        </w:rPr>
      </w:pPr>
    </w:p>
    <w:p>
      <w:pPr>
        <w:ind w:left="260" w:hanging="255"/>
        <w:spacing w:after="0" w:line="252" w:lineRule="auto"/>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209,205 Common Shares, (ii) 209,205 Class A Warrant Shares, and (iii) 209,205 Class B Warrant Shares. The business address of D. Kent Lance, Jr. is 901 South Mopac Expressway, Building III, Suite 220, Austin, TX 78746.</w:t>
      </w:r>
    </w:p>
    <w:p>
      <w:pPr>
        <w:spacing w:after="0" w:line="1" w:lineRule="exact"/>
        <w:rPr>
          <w:rFonts w:ascii="Times New Roman" w:cs="Times New Roman" w:eastAsia="Times New Roman" w:hAnsi="Times New Roman"/>
          <w:sz w:val="14"/>
          <w:szCs w:val="14"/>
          <w:color w:val="auto"/>
        </w:rPr>
      </w:pPr>
    </w:p>
    <w:p>
      <w:pPr>
        <w:ind w:left="260" w:hanging="255"/>
        <w:spacing w:after="0" w:line="252" w:lineRule="auto"/>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41,841 Common Shares, (ii) 41,841 Class A Warrant Shares, and (iii) 41,841 Class B Warrant Shares. The business address of Red Hook Fund LP is 44 Ball Road, Mountain Lakes, NJ 07046.</w:t>
      </w:r>
    </w:p>
    <w:p>
      <w:pPr>
        <w:spacing w:after="0" w:line="1" w:lineRule="exact"/>
        <w:rPr>
          <w:rFonts w:ascii="Times New Roman" w:cs="Times New Roman" w:eastAsia="Times New Roman" w:hAnsi="Times New Roman"/>
          <w:sz w:val="14"/>
          <w:szCs w:val="14"/>
          <w:color w:val="auto"/>
        </w:rPr>
      </w:pPr>
    </w:p>
    <w:p>
      <w:pPr>
        <w:ind w:left="260" w:hanging="255"/>
        <w:spacing w:after="0" w:line="252" w:lineRule="auto"/>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104,603 Common Shares, (ii) 104,603 Class A Warrant Shares, and (iii) 104,603 Class B Warrant Shares. The business address of Clamantis Holdings, LLC is 270 Taconic Road, Greenwich CT 06831.</w:t>
      </w:r>
    </w:p>
    <w:p>
      <w:pPr>
        <w:spacing w:after="0" w:line="1" w:lineRule="exact"/>
        <w:rPr>
          <w:rFonts w:ascii="Times New Roman" w:cs="Times New Roman" w:eastAsia="Times New Roman" w:hAnsi="Times New Roman"/>
          <w:sz w:val="14"/>
          <w:szCs w:val="14"/>
          <w:color w:val="auto"/>
        </w:rPr>
      </w:pPr>
    </w:p>
    <w:p>
      <w:pPr>
        <w:ind w:left="260" w:hanging="255"/>
        <w:spacing w:after="0" w:line="252" w:lineRule="auto"/>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41,841 Common Shares, (ii) 41,841 Class A Warrant Shares, and (iii) 41,841 Class B Warrant Shares. The business address of Mr. Thomas A. Opalka is 13 Eagle Point Dr, Cortland, OH 44410.</w:t>
      </w:r>
    </w:p>
    <w:p>
      <w:pPr>
        <w:spacing w:after="0" w:line="1" w:lineRule="exact"/>
        <w:rPr>
          <w:rFonts w:ascii="Times New Roman" w:cs="Times New Roman" w:eastAsia="Times New Roman" w:hAnsi="Times New Roman"/>
          <w:sz w:val="14"/>
          <w:szCs w:val="14"/>
          <w:color w:val="auto"/>
        </w:rPr>
      </w:pPr>
    </w:p>
    <w:p>
      <w:pPr>
        <w:ind w:left="260" w:hanging="255"/>
        <w:spacing w:after="0" w:line="252" w:lineRule="auto"/>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125,523 Common Shares, (ii) 125,523 Class A Warrant Shares, and (iii) 125,523 Class B Warrant Shares. The business address of Northbank Small Cap Alpha Fund, LP is PO Box 6811, Ketchum, ID 83340.</w:t>
      </w:r>
    </w:p>
    <w:p>
      <w:pPr>
        <w:spacing w:after="0" w:line="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5,642 Compensation Shares. The business address of Arcadia Securities, LLC is 1370 Avenue of the Americas, 29th Floor, New York, NY 10019.</w:t>
      </w:r>
    </w:p>
    <w:p>
      <w:pPr>
        <w:spacing w:after="0" w:line="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1,250 Compensation Shares. The business address of Kurt Ruehman is 1370 Avenue of the Americas, 29th Floor, New York, NY 10019.</w:t>
      </w:r>
    </w:p>
    <w:p>
      <w:pPr>
        <w:spacing w:after="0" w:line="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21,320 Compensation Shares. The business address of Daniel Weston is 1370 Avenue of the Americas, 29th Floor, New York, NY 10019.</w:t>
      </w:r>
    </w:p>
    <w:p>
      <w:pPr>
        <w:spacing w:after="0" w:line="8" w:lineRule="exact"/>
        <w:rPr>
          <w:rFonts w:ascii="Times New Roman" w:cs="Times New Roman" w:eastAsia="Times New Roman" w:hAnsi="Times New Roman"/>
          <w:sz w:val="14"/>
          <w:szCs w:val="14"/>
          <w:color w:val="auto"/>
        </w:rPr>
      </w:pPr>
    </w:p>
    <w:p>
      <w:pPr>
        <w:jc w:val="both"/>
        <w:ind w:left="260" w:hanging="255"/>
        <w:spacing w:after="0" w:line="257" w:lineRule="auto"/>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Stockholder is affiliated with H.C. Wainwright &amp; Co., LLC, a registered broker dealer with a registered address of H.C. Wainwright &amp; Co.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our private placement. The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0"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Each selling stockholder of the securities and any of their pledgees, assignees and successors-in-interest may, from time to time, sell any or all of their securities covered hereby on the Nasdaq Capital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37" w:lineRule="exact"/>
        <w:rPr>
          <w:sz w:val="20"/>
          <w:szCs w:val="20"/>
          <w:color w:val="auto"/>
        </w:rPr>
      </w:pPr>
    </w:p>
    <w:p>
      <w:pPr>
        <w:ind w:left="520" w:hanging="261"/>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securities as agent but may position and resell a portion of the block as principal to facilitate the transaction;</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settlement of short sales;</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transactions through broker-dealers that agree with the selling stockholders to sell a specified number of such securities at a stipulated price per security;</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or</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selling stockholders may also sell securities under Rule 144 or any other exemption from registration under the Securities Act, if available, rather than under this prospectus.</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Dorsey &amp; Whitney LLP, Salt Lake City, Utah, will pass upon the validity of the securities offered by this prospectus and any supplement thereto.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consolidated financial statements of SINTX Technologies, Inc. appearing in SINTX Technologies, Inc.’s Annual Report on Form 10-K for the fiscal year ended December 31, 2025 have been audited by TANNER LLP, independent registered public accounting firm, as set forth in their report thereon included therein, and incorporated herein by reference. Such financial statements are incorporated herein by reference in reliance upon the report of TANNER LLP pertaining to such financial statements given on the authority of such firm as experts in accounting and auditing.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 In addition, we maintain a website that contains information about us at www.sintx.com. Information contained on or accessible through our website is not a part of this prospectus and is not incorporated by reference herein, and the inclusion of our website address in this prospectus is an inactive textual reference only.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140" w:lineRule="exact"/>
        <w:rPr>
          <w:sz w:val="20"/>
          <w:szCs w:val="20"/>
          <w:color w:val="auto"/>
        </w:rPr>
      </w:pPr>
    </w:p>
    <w:p>
      <w:pPr>
        <w:ind w:left="260" w:hanging="255"/>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42">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March 20, 2026;</w:t>
      </w:r>
    </w:p>
    <w:p>
      <w:pPr>
        <w:spacing w:after="0" w:line="17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Company’s Quarterly Reports on Form 10-Q for the period ended </w:t>
      </w:r>
      <w:hyperlink r:id="rId43">
        <w:r>
          <w:rPr>
            <w:rFonts w:ascii="Times New Roman" w:cs="Times New Roman" w:eastAsia="Times New Roman" w:hAnsi="Times New Roman"/>
            <w:sz w:val="14"/>
            <w:szCs w:val="14"/>
            <w:u w:val="single" w:color="auto"/>
            <w:color w:val="0000EE"/>
          </w:rPr>
          <w:t>March 31, 2026</w:t>
        </w:r>
      </w:hyperlink>
      <w:r>
        <w:rPr>
          <w:rFonts w:ascii="Times New Roman" w:cs="Times New Roman" w:eastAsia="Times New Roman" w:hAnsi="Times New Roman"/>
          <w:sz w:val="14"/>
          <w:szCs w:val="14"/>
          <w:color w:val="auto"/>
        </w:rPr>
        <w:t>;</w:t>
      </w:r>
    </w:p>
    <w:p>
      <w:pPr>
        <w:spacing w:after="0" w:line="17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Company’s Current Reports on Form 8-K filed with the SEC on </w:t>
      </w:r>
      <w:hyperlink r:id="rId44">
        <w:r>
          <w:rPr>
            <w:rFonts w:ascii="Times New Roman" w:cs="Times New Roman" w:eastAsia="Times New Roman" w:hAnsi="Times New Roman"/>
            <w:sz w:val="14"/>
            <w:szCs w:val="14"/>
            <w:u w:val="single" w:color="auto"/>
            <w:color w:val="0000EE"/>
          </w:rPr>
          <w:t>February 18, 2026</w:t>
        </w:r>
      </w:hyperlink>
      <w:r>
        <w:rPr>
          <w:rFonts w:ascii="Times New Roman" w:cs="Times New Roman" w:eastAsia="Times New Roman" w:hAnsi="Times New Roman"/>
          <w:sz w:val="14"/>
          <w:szCs w:val="14"/>
          <w:color w:val="auto"/>
        </w:rPr>
        <w:t xml:space="preserve">, </w:t>
      </w:r>
      <w:hyperlink r:id="rId45">
        <w:r>
          <w:rPr>
            <w:rFonts w:ascii="Times New Roman" w:cs="Times New Roman" w:eastAsia="Times New Roman" w:hAnsi="Times New Roman"/>
            <w:sz w:val="14"/>
            <w:szCs w:val="14"/>
            <w:u w:val="single" w:color="auto"/>
            <w:color w:val="0000EE"/>
          </w:rPr>
          <w:t>May 27, 2026</w:t>
        </w:r>
      </w:hyperlink>
      <w:r>
        <w:rPr>
          <w:rFonts w:ascii="Times New Roman" w:cs="Times New Roman" w:eastAsia="Times New Roman" w:hAnsi="Times New Roman"/>
          <w:sz w:val="14"/>
          <w:szCs w:val="14"/>
          <w:color w:val="auto"/>
        </w:rPr>
        <w:t xml:space="preserve">, and </w:t>
      </w:r>
      <w:hyperlink r:id="rId46">
        <w:r>
          <w:rPr>
            <w:rFonts w:ascii="Times New Roman" w:cs="Times New Roman" w:eastAsia="Times New Roman" w:hAnsi="Times New Roman"/>
            <w:sz w:val="14"/>
            <w:szCs w:val="14"/>
            <w:u w:val="single" w:color="auto"/>
            <w:color w:val="0000EE"/>
          </w:rPr>
          <w:t>June 3, 2026</w:t>
        </w:r>
      </w:hyperlink>
      <w:r>
        <w:rPr>
          <w:rFonts w:ascii="Times New Roman" w:cs="Times New Roman" w:eastAsia="Times New Roman" w:hAnsi="Times New Roman"/>
          <w:sz w:val="14"/>
          <w:szCs w:val="14"/>
          <w:color w:val="auto"/>
        </w:rPr>
        <w:t>; and</w:t>
      </w:r>
    </w:p>
    <w:p>
      <w:pPr>
        <w:spacing w:after="0" w:line="178" w:lineRule="exact"/>
        <w:rPr>
          <w:rFonts w:ascii="Times New Roman" w:cs="Times New Roman" w:eastAsia="Times New Roman" w:hAnsi="Times New Roman"/>
          <w:sz w:val="14"/>
          <w:szCs w:val="14"/>
          <w:color w:val="auto"/>
        </w:rPr>
      </w:pPr>
    </w:p>
    <w:p>
      <w:pPr>
        <w:jc w:val="both"/>
        <w:ind w:left="260" w:hanging="255"/>
        <w:spacing w:after="0" w:line="269" w:lineRule="auto"/>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the Company’s common stock, which is contained in the Registration Statement on Form 8-A, as filed with the SEC on </w:t>
      </w:r>
      <w:hyperlink r:id="rId47">
        <w:r>
          <w:rPr>
            <w:rFonts w:ascii="Times New Roman" w:cs="Times New Roman" w:eastAsia="Times New Roman" w:hAnsi="Times New Roman"/>
            <w:sz w:val="14"/>
            <w:szCs w:val="14"/>
            <w:u w:val="single" w:color="auto"/>
            <w:color w:val="0000EE"/>
          </w:rPr>
          <w:t>February 7, 2014</w:t>
        </w:r>
      </w:hyperlink>
      <w:r>
        <w:rPr>
          <w:rFonts w:ascii="Times New Roman" w:cs="Times New Roman" w:eastAsia="Times New Roman" w:hAnsi="Times New Roman"/>
          <w:sz w:val="14"/>
          <w:szCs w:val="14"/>
          <w:color w:val="auto"/>
        </w:rPr>
        <w:t xml:space="preserve">, as updated by the description of our common stock contained in </w:t>
      </w:r>
      <w:hyperlink r:id="rId48">
        <w:r>
          <w:rPr>
            <w:rFonts w:ascii="Times New Roman" w:cs="Times New Roman" w:eastAsia="Times New Roman" w:hAnsi="Times New Roman"/>
            <w:sz w:val="14"/>
            <w:szCs w:val="14"/>
            <w:u w:val="single" w:color="auto"/>
            <w:color w:val="0000EE"/>
          </w:rPr>
          <w:t>Exhibit 4.19</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2025, including any amendment or report filed for the purpose of updating such description.</w:t>
      </w:r>
    </w:p>
    <w:p>
      <w:pPr>
        <w:spacing w:after="0" w:line="137" w:lineRule="exact"/>
        <w:rPr>
          <w:rFonts w:ascii="Times New Roman" w:cs="Times New Roman" w:eastAsia="Times New Roman" w:hAnsi="Times New Roman"/>
          <w:sz w:val="14"/>
          <w:szCs w:val="14"/>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125" w:lineRule="exact"/>
        <w:rPr>
          <w:rFonts w:ascii="Times New Roman" w:cs="Times New Roman" w:eastAsia="Times New Roman" w:hAnsi="Times New Roman"/>
          <w:sz w:val="14"/>
          <w:szCs w:val="14"/>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also incorporate by reference any future filings (other than Current Reports furnished under Items 2.02 or 7.01 of Form 8-K and exhibits filed on such form that are related to such items unless such Form 8-K expressly provides to the contrary) made with the SEC pursuant to Sections 13(a), 13(c), 14 or 15(d) of the Exchange Act (i) after the date of the initial filing of the registration statement of which this prospectus is a part and prior to effectiveness of the registration statement, and (ii) after the effectiveness of the registration statement but prior to the termination of the offering of the securities covered by this prospectus, excluding, in each case, information deemed furnished and not filed.</w:t>
      </w:r>
    </w:p>
    <w:p>
      <w:pPr>
        <w:spacing w:after="0" w:line="140" w:lineRule="exact"/>
        <w:rPr>
          <w:rFonts w:ascii="Times New Roman" w:cs="Times New Roman" w:eastAsia="Times New Roman" w:hAnsi="Times New Roman"/>
          <w:sz w:val="14"/>
          <w:szCs w:val="14"/>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37" w:lineRule="exact"/>
        <w:rPr>
          <w:rFonts w:ascii="Times New Roman" w:cs="Times New Roman" w:eastAsia="Times New Roman" w:hAnsi="Times New Roman"/>
          <w:sz w:val="14"/>
          <w:szCs w:val="1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Sintx Technologies, Inc., Attn: Investor Relations, 1885 West 2100 South, Salt Lake City, Utah 84119 and our telephone number is (801) 839-3500. You may also access the documents incorporated by reference in this prospectus through our website at www.sintx.com. Except for the specific incorporated documents listed above, no information available on or through our website shall be deemed to be incorporated in this prospectus or the registration statement of which it forms a part.</w:t>
      </w:r>
    </w:p>
    <w:p>
      <w:pPr>
        <w:spacing w:after="0" w:line="142"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0"/>
          <w:szCs w:val="20"/>
          <w:b w:val="1"/>
          <w:bCs w:val="1"/>
          <w:color w:val="auto"/>
        </w:rPr>
        <w:t>Sintx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123825</wp:posOffset>
            </wp:positionV>
            <wp:extent cx="1346200" cy="3162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46200" cy="31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5,819,323 Shares of Common Stock Offered by the Selling Stockholders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PROSPECTUS</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220980</wp:posOffset>
            </wp:positionV>
            <wp:extent cx="716153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The following table sets forth the estimated costs and expenses payable by us in connection with the offering of the securities being registered. All the amounts shown are estimates, except for the SEC registration fee.</w:t>
      </w:r>
    </w:p>
    <w:p>
      <w:pPr>
        <w:sectPr>
          <w:pgSz w:w="11900" w:h="16838" w:orient="portrait"/>
          <w:cols w:equalWidth="0" w:num="1">
            <w:col w:w="11280"/>
          </w:cols>
          <w:pgMar w:left="300" w:top="568" w:right="319" w:bottom="1440" w:gutter="0" w:footer="0" w:header="0"/>
        </w:sect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07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1212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color w:val="auto"/>
        </w:rPr>
        <w:t>Total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6"/>
        </w:trPr>
        <w:tc>
          <w:tcPr>
            <w:tcW w:w="400" w:type="dxa"/>
            <w:vAlign w:val="bottom"/>
          </w:tcPr>
          <w:p>
            <w:pPr>
              <w:jc w:val="right"/>
              <w:ind w:right="249"/>
              <w:spacing w:after="0" w:line="146"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1,687.66</w:t>
            </w:r>
          </w:p>
        </w:tc>
      </w:tr>
      <w:tr>
        <w:trPr>
          <w:trHeight w:val="184"/>
        </w:trPr>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r>
    </w:tbl>
    <w:p>
      <w:pPr>
        <w:ind w:left="1360" w:hanging="1351"/>
        <w:spacing w:after="0"/>
        <w:tabs>
          <w:tab w:leader="none" w:pos="13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30,000.00</w:t>
      </w:r>
    </w:p>
    <w:p>
      <w:pPr>
        <w:spacing w:after="0" w:line="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5,000.00</w:t>
      </w:r>
    </w:p>
    <w:p>
      <w:pPr>
        <w:spacing w:after="0" w:line="9" w:lineRule="exact"/>
        <w:rPr>
          <w:sz w:val="20"/>
          <w:szCs w:val="20"/>
          <w:color w:val="auto"/>
        </w:rPr>
      </w:pPr>
    </w:p>
    <w:p>
      <w:pPr>
        <w:ind w:left="1360" w:hanging="1351"/>
        <w:spacing w:after="0"/>
        <w:tabs>
          <w:tab w:leader="none" w:pos="1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44,187.66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21158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211580" cy="6985"/>
                    </a:xfrm>
                    <a:prstGeom prst="rect">
                      <a:avLst/>
                    </a:prstGeom>
                    <a:noFill/>
                  </pic:spPr>
                </pic:pic>
              </a:graphicData>
            </a:graphic>
          </wp:anchor>
        </w:drawing>
      </w:r>
    </w:p>
    <w:p>
      <w:pPr>
        <w:spacing w:after="0" w:line="545" w:lineRule="exact"/>
        <w:rPr>
          <w:sz w:val="20"/>
          <w:szCs w:val="20"/>
          <w:color w:val="auto"/>
        </w:rPr>
      </w:pPr>
    </w:p>
    <w:p>
      <w:pPr>
        <w:sectPr>
          <w:pgSz w:w="11900" w:h="16838" w:orient="portrait"/>
          <w:cols w:equalWidth="0" w:num="2">
            <w:col w:w="8540" w:space="720"/>
            <w:col w:w="2020"/>
          </w:cols>
          <w:pgMar w:left="300" w:top="568" w:right="319" w:bottom="1440" w:gutter="0" w:footer="0" w:header="0"/>
          <w:type w:val="continuous"/>
        </w:sectPr>
      </w:pPr>
    </w:p>
    <w:p>
      <w:pPr>
        <w:jc w:val="both"/>
        <w:spacing w:after="0" w:line="256" w:lineRule="auto"/>
        <w:rPr>
          <w:sz w:val="20"/>
          <w:szCs w:val="20"/>
          <w:color w:val="auto"/>
        </w:rPr>
      </w:pPr>
      <w:r>
        <w:rPr>
          <w:rFonts w:ascii="Times New Roman" w:cs="Times New Roman" w:eastAsia="Times New Roman" w:hAnsi="Times New Roman"/>
          <w:sz w:val="14"/>
          <w:szCs w:val="14"/>
          <w:color w:val="auto"/>
        </w:rPr>
        <w:t xml:space="preserve">Our Amended and Restated Certificate of Incorporation and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permitted by the Delaware General Corporation Law, as the same exists or may hereafter be amended (but, in the case of any such amendment, only to the extent that such amendment permits us to provide broader indemnification rights than such law permitted us to provide prior to such amendment) against all expense, liability and loss (including attorneys’ fees, judgments, fines, Employee Retirement Income Security Act excise taxes or penalties and amounts paid in settlement) reasonably incurred or suffered by such indemnitee in connection therewith;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subject to other articles of our Amended and Restated Certificate of Incorporation, we cannot be required to indemnify or advance expenses to any such indemnitee in connection with a proceeding (or part thereof) initiated by such indemnitee unless such proceeding (or part thereof) was authorized by the Board of Directors. These provisions limit the liability of our directors and officers to the fullest extent permitted under Delaware law. A director will not receive indemnification if he or she is found not to have acted in good faith.</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Section 145 of the Delaware General Corporation Law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court in which the action or suit was brought shall determine that such person is fairly and reasonably entitled to indemnity for such expenses despite such adjudication of liability.</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Pursuant to Section 102(b)(7) of the Delaware General Corporation Law, Article Eighth of our Amended and Restated Certificate of Incorporation eliminates the liability of a director to us or our stockholders for monetary damages for such a breach of fiduciary duty as a director, except for liabilities arising:</w:t>
      </w:r>
    </w:p>
    <w:p>
      <w:pPr>
        <w:spacing w:after="0" w:line="125" w:lineRule="exact"/>
        <w:rPr>
          <w:sz w:val="20"/>
          <w:szCs w:val="20"/>
          <w:color w:val="auto"/>
        </w:rPr>
      </w:pPr>
    </w:p>
    <w:p>
      <w:pPr>
        <w:ind w:left="520" w:hanging="261"/>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any breach of the director’s duty of loyalty to us or our stockholders;</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acts or omissions not in good faith or which involve intentional misconduct or a knowing violation of law;</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Section 174 of the Delaware General Corporation Law; or</w:t>
      </w:r>
    </w:p>
    <w:p>
      <w:pPr>
        <w:spacing w:after="0" w:line="178"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any transaction from which the director derived an improper personal benefit.</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carry insurance policies insuring our directors and officers against certain liabilities that they may incur in their capacity as directors and officers. We have entered into indemnification agreements with certain of our executive officers and directors. These agreements, among other things, indemnify and advance expenses to our directors and officers for certain expenses, including attorney’s fees, judgments, fines and settlement amounts incurred by any such person in any action or proceeding, including any action by us arising out of such person’s services as our director or officer, or any other company or enterprise to which the person provides services at our request. We believe that these provisions and agreements are necessary to attract and retain qualified persons as directors and officers. We have entered into agreements to indemnify all of our directors and officers.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86"/>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16. Exhibits</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23"/>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Filed with</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herein from</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r>
      <w:tr>
        <w:trPr>
          <w:trHeight w:val="170"/>
        </w:trPr>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this</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Form or</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File/Reg.</w:t>
            </w:r>
          </w:p>
        </w:tc>
      </w:tr>
      <w:tr>
        <w:trPr>
          <w:trHeight w:val="186"/>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Report</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9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4"/>
                <w:szCs w:val="24"/>
                <w:color w:val="auto"/>
              </w:rPr>
            </w:pPr>
          </w:p>
        </w:tc>
        <w:tc>
          <w:tcPr>
            <w:tcW w:w="5860" w:type="dxa"/>
            <w:vAlign w:val="bottom"/>
            <w:gridSpan w:val="15"/>
          </w:tcPr>
          <w:p>
            <w:pPr>
              <w:spacing w:after="0"/>
              <w:rPr>
                <w:rFonts w:ascii="Times New Roman" w:cs="Times New Roman" w:eastAsia="Times New Roman" w:hAnsi="Times New Roman"/>
                <w:sz w:val="14"/>
                <w:szCs w:val="14"/>
                <w:color w:val="0000EE"/>
              </w:rPr>
            </w:pPr>
            <w:hyperlink r:id="rId57">
              <w:r>
                <w:rPr>
                  <w:rFonts w:ascii="Times New Roman" w:cs="Times New Roman" w:eastAsia="Times New Roman" w:hAnsi="Times New Roman"/>
                  <w:sz w:val="14"/>
                  <w:szCs w:val="14"/>
                  <w:color w:val="0000EE"/>
                </w:rPr>
                <w:t>Asset Purchase Agreement by and among Amedica Corporation, CTL Corporation and US Spine Inc.</w:t>
              </w:r>
            </w:hyperlink>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Form 8-K</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10/5/18</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001-33624</w:t>
            </w:r>
          </w:p>
        </w:tc>
      </w:tr>
      <w:tr>
        <w:trPr>
          <w:trHeight w:val="150"/>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Borders>
              <w:top w:val="single" w:sz="8" w:color="0000EE"/>
            </w:tcBorders>
            <w:gridSpan w:val="13"/>
          </w:tcPr>
          <w:p>
            <w:pPr>
              <w:spacing w:after="0" w:line="150" w:lineRule="exact"/>
              <w:rPr>
                <w:rFonts w:ascii="Times New Roman" w:cs="Times New Roman" w:eastAsia="Times New Roman" w:hAnsi="Times New Roman"/>
                <w:sz w:val="14"/>
                <w:szCs w:val="14"/>
                <w:color w:val="0000EE"/>
              </w:rPr>
            </w:pPr>
            <w:hyperlink r:id="rId57">
              <w:r>
                <w:rPr>
                  <w:rFonts w:ascii="Times New Roman" w:cs="Times New Roman" w:eastAsia="Times New Roman" w:hAnsi="Times New Roman"/>
                  <w:sz w:val="14"/>
                  <w:szCs w:val="14"/>
                  <w:color w:val="0000EE"/>
                </w:rPr>
                <w:t>dated as of September 5, 2018</w:t>
              </w:r>
            </w:hyperlink>
          </w:p>
        </w:tc>
        <w:tc>
          <w:tcPr>
            <w:tcW w:w="12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rPr>
              <w:t>(Exhibit 2.1)</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9"/>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4"/>
                <w:szCs w:val="24"/>
                <w:color w:val="auto"/>
              </w:rPr>
            </w:pPr>
          </w:p>
        </w:tc>
        <w:tc>
          <w:tcPr>
            <w:tcW w:w="5860" w:type="dxa"/>
            <w:vAlign w:val="bottom"/>
            <w:gridSpan w:val="15"/>
          </w:tcPr>
          <w:p>
            <w:pPr>
              <w:spacing w:after="0"/>
              <w:rPr>
                <w:rFonts w:ascii="Times New Roman" w:cs="Times New Roman" w:eastAsia="Times New Roman" w:hAnsi="Times New Roman"/>
                <w:sz w:val="14"/>
                <w:szCs w:val="14"/>
                <w:color w:val="0000EE"/>
              </w:rPr>
            </w:pPr>
            <w:hyperlink r:id="rId58">
              <w:r>
                <w:rPr>
                  <w:rFonts w:ascii="Times New Roman" w:cs="Times New Roman" w:eastAsia="Times New Roman" w:hAnsi="Times New Roman"/>
                  <w:sz w:val="14"/>
                  <w:szCs w:val="14"/>
                  <w:color w:val="0000EE"/>
                </w:rPr>
                <w:t>Asset Purchase Agreement by and among SINTX Technologies, Inc. and B4C, LLC, dated July 20,</w:t>
              </w:r>
            </w:hyperlink>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Form 8-K</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7/26/21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001-33624</w:t>
            </w:r>
          </w:p>
        </w:tc>
      </w:tr>
      <w:tr>
        <w:trPr>
          <w:trHeight w:val="150"/>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00EE"/>
              <w:bottom w:val="single" w:sz="8" w:color="0000EE"/>
            </w:tcBorders>
            <w:gridSpan w:val="2"/>
          </w:tcPr>
          <w:p>
            <w:pPr>
              <w:spacing w:after="0" w:line="150" w:lineRule="exact"/>
              <w:rPr>
                <w:rFonts w:ascii="Times New Roman" w:cs="Times New Roman" w:eastAsia="Times New Roman" w:hAnsi="Times New Roman"/>
                <w:sz w:val="14"/>
                <w:szCs w:val="14"/>
                <w:color w:val="0000EE"/>
                <w:w w:val="95"/>
              </w:rPr>
            </w:pPr>
            <w:hyperlink r:id="rId58">
              <w:r>
                <w:rPr>
                  <w:rFonts w:ascii="Times New Roman" w:cs="Times New Roman" w:eastAsia="Times New Roman" w:hAnsi="Times New Roman"/>
                  <w:sz w:val="14"/>
                  <w:szCs w:val="14"/>
                  <w:color w:val="0000EE"/>
                  <w:w w:val="95"/>
                </w:rPr>
                <w:t>2021.</w:t>
              </w:r>
            </w:hyperlink>
          </w:p>
        </w:tc>
        <w:tc>
          <w:tcPr>
            <w:tcW w:w="10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8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400" w:type="dxa"/>
            <w:vAlign w:val="bottom"/>
            <w:tcBorders>
              <w:top w:val="single" w:sz="8" w:color="0000EE"/>
            </w:tcBorders>
          </w:tcPr>
          <w:p>
            <w:pPr>
              <w:spacing w:after="0"/>
              <w:rPr>
                <w:sz w:val="13"/>
                <w:szCs w:val="13"/>
                <w:color w:val="auto"/>
              </w:rPr>
            </w:pPr>
          </w:p>
        </w:tc>
        <w:tc>
          <w:tcPr>
            <w:tcW w:w="800" w:type="dxa"/>
            <w:vAlign w:val="bottom"/>
            <w:tcBorders>
              <w:top w:val="single" w:sz="8" w:color="0000EE"/>
            </w:tcBorders>
          </w:tcPr>
          <w:p>
            <w:pPr>
              <w:spacing w:after="0"/>
              <w:rPr>
                <w:sz w:val="13"/>
                <w:szCs w:val="13"/>
                <w:color w:val="auto"/>
              </w:rPr>
            </w:pPr>
          </w:p>
        </w:tc>
        <w:tc>
          <w:tcPr>
            <w:tcW w:w="6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rPr>
              <w:t>(Exhibit 2.1)</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319"/>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4"/>
                <w:szCs w:val="24"/>
                <w:color w:val="auto"/>
              </w:rPr>
            </w:pPr>
          </w:p>
        </w:tc>
        <w:tc>
          <w:tcPr>
            <w:tcW w:w="5860" w:type="dxa"/>
            <w:vAlign w:val="bottom"/>
            <w:gridSpan w:val="15"/>
          </w:tcPr>
          <w:p>
            <w:pPr>
              <w:spacing w:after="0"/>
              <w:rPr>
                <w:rFonts w:ascii="Times New Roman" w:cs="Times New Roman" w:eastAsia="Times New Roman" w:hAnsi="Times New Roman"/>
                <w:sz w:val="14"/>
                <w:szCs w:val="14"/>
                <w:color w:val="0000EE"/>
              </w:rPr>
            </w:pPr>
            <w:hyperlink r:id="rId59">
              <w:r>
                <w:rPr>
                  <w:rFonts w:ascii="Times New Roman" w:cs="Times New Roman" w:eastAsia="Times New Roman" w:hAnsi="Times New Roman"/>
                  <w:sz w:val="14"/>
                  <w:szCs w:val="14"/>
                  <w:color w:val="0000EE"/>
                </w:rPr>
                <w:t>Entity Acquisition Agreement between the Company and Tethon Corporation dated February 19,</w:t>
              </w:r>
            </w:hyperlink>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Form 8-K (Exhibit 1.1)</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2/20/25</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001-33624</w:t>
            </w:r>
          </w:p>
        </w:tc>
      </w:tr>
      <w:tr>
        <w:trPr>
          <w:trHeight w:val="150"/>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0000EE"/>
              <w:bottom w:val="single" w:sz="8" w:color="0000EE"/>
            </w:tcBorders>
          </w:tcPr>
          <w:p>
            <w:pPr>
              <w:spacing w:after="0" w:line="150" w:lineRule="exact"/>
              <w:rPr>
                <w:rFonts w:ascii="Times New Roman" w:cs="Times New Roman" w:eastAsia="Times New Roman" w:hAnsi="Times New Roman"/>
                <w:sz w:val="14"/>
                <w:szCs w:val="14"/>
                <w:color w:val="0000EE"/>
                <w:w w:val="92"/>
              </w:rPr>
            </w:pPr>
            <w:hyperlink r:id="rId59">
              <w:r>
                <w:rPr>
                  <w:rFonts w:ascii="Times New Roman" w:cs="Times New Roman" w:eastAsia="Times New Roman" w:hAnsi="Times New Roman"/>
                  <w:sz w:val="14"/>
                  <w:szCs w:val="14"/>
                  <w:color w:val="0000EE"/>
                  <w:w w:val="92"/>
                </w:rPr>
                <w:t>2025</w:t>
              </w:r>
            </w:hyperlink>
          </w:p>
        </w:tc>
        <w:tc>
          <w:tcPr>
            <w:tcW w:w="40" w:type="dxa"/>
            <w:vAlign w:val="bottom"/>
            <w:tcBorders>
              <w:top w:val="single" w:sz="8" w:color="0000EE"/>
            </w:tcBorders>
          </w:tcPr>
          <w:p>
            <w:pPr>
              <w:spacing w:after="0"/>
              <w:rPr>
                <w:sz w:val="13"/>
                <w:szCs w:val="13"/>
                <w:color w:val="auto"/>
              </w:rPr>
            </w:pPr>
          </w:p>
        </w:tc>
        <w:tc>
          <w:tcPr>
            <w:tcW w:w="10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8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400" w:type="dxa"/>
            <w:vAlign w:val="bottom"/>
            <w:tcBorders>
              <w:top w:val="single" w:sz="8" w:color="0000EE"/>
            </w:tcBorders>
          </w:tcPr>
          <w:p>
            <w:pPr>
              <w:spacing w:after="0"/>
              <w:rPr>
                <w:sz w:val="13"/>
                <w:szCs w:val="13"/>
                <w:color w:val="auto"/>
              </w:rPr>
            </w:pPr>
          </w:p>
        </w:tc>
        <w:tc>
          <w:tcPr>
            <w:tcW w:w="800" w:type="dxa"/>
            <w:vAlign w:val="bottom"/>
            <w:tcBorders>
              <w:top w:val="single" w:sz="8" w:color="0000EE"/>
            </w:tcBorders>
          </w:tcPr>
          <w:p>
            <w:pPr>
              <w:spacing w:after="0"/>
              <w:rPr>
                <w:sz w:val="13"/>
                <w:szCs w:val="13"/>
                <w:color w:val="auto"/>
              </w:rPr>
            </w:pPr>
          </w:p>
        </w:tc>
        <w:tc>
          <w:tcPr>
            <w:tcW w:w="6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319"/>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24"/>
                <w:szCs w:val="24"/>
                <w:color w:val="auto"/>
              </w:rPr>
            </w:pPr>
          </w:p>
        </w:tc>
        <w:tc>
          <w:tcPr>
            <w:tcW w:w="5860" w:type="dxa"/>
            <w:vAlign w:val="bottom"/>
            <w:gridSpan w:val="15"/>
          </w:tcPr>
          <w:p>
            <w:pPr>
              <w:spacing w:after="0"/>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color w:val="0000EE"/>
                </w:rPr>
                <w:t>Form of common stock Certificate of the Registrant</w:t>
              </w:r>
            </w:hyperlink>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Amendment No. 3 to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1/29/14</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333-192232</w:t>
            </w:r>
          </w:p>
        </w:tc>
      </w:tr>
      <w:tr>
        <w:trPr>
          <w:trHeight w:val="167"/>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8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Form S-1</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4"/>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(Exhibit 4.1)</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0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4"/>
                <w:szCs w:val="24"/>
                <w:color w:val="auto"/>
              </w:rPr>
            </w:pPr>
          </w:p>
        </w:tc>
        <w:tc>
          <w:tcPr>
            <w:tcW w:w="5860" w:type="dxa"/>
            <w:vAlign w:val="bottom"/>
            <w:gridSpan w:val="15"/>
          </w:tcPr>
          <w:p>
            <w:pPr>
              <w:spacing w:after="0"/>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0000EE"/>
                </w:rPr>
                <w:t>Form of Warrant Agency Agreement between Amedica Corporation and American Stock Transfer</w:t>
              </w:r>
            </w:hyperlink>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Form 8-K (Exhibit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2/07/20</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001-33624</w:t>
            </w:r>
          </w:p>
        </w:tc>
      </w:tr>
      <w:tr>
        <w:trPr>
          <w:trHeight w:val="150"/>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20" w:type="dxa"/>
            <w:vAlign w:val="bottom"/>
            <w:tcBorders>
              <w:top w:val="single" w:sz="8" w:color="0000EE"/>
              <w:bottom w:val="single" w:sz="8" w:color="0000EE"/>
            </w:tcBorders>
            <w:gridSpan w:val="9"/>
          </w:tcPr>
          <w:p>
            <w:pPr>
              <w:spacing w:after="0" w:line="150" w:lineRule="exact"/>
              <w:rPr>
                <w:rFonts w:ascii="Times New Roman" w:cs="Times New Roman" w:eastAsia="Times New Roman" w:hAnsi="Times New Roman"/>
                <w:sz w:val="14"/>
                <w:szCs w:val="14"/>
                <w:color w:val="0000EE"/>
                <w:w w:val="99"/>
              </w:rPr>
            </w:pPr>
            <w:hyperlink r:id="rId61">
              <w:r>
                <w:rPr>
                  <w:rFonts w:ascii="Times New Roman" w:cs="Times New Roman" w:eastAsia="Times New Roman" w:hAnsi="Times New Roman"/>
                  <w:sz w:val="14"/>
                  <w:szCs w:val="14"/>
                  <w:color w:val="0000EE"/>
                  <w:w w:val="99"/>
                </w:rPr>
                <w:t>and Trust Company, LLC, dated February 6, 2020</w:t>
              </w:r>
            </w:hyperlink>
          </w:p>
        </w:tc>
        <w:tc>
          <w:tcPr>
            <w:tcW w:w="2920" w:type="dxa"/>
            <w:vAlign w:val="bottom"/>
            <w:tcBorders>
              <w:top w:val="single" w:sz="8" w:color="0000EE"/>
            </w:tcBorders>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319"/>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24"/>
                <w:szCs w:val="24"/>
                <w:color w:val="auto"/>
              </w:rPr>
            </w:pPr>
          </w:p>
        </w:tc>
        <w:tc>
          <w:tcPr>
            <w:tcW w:w="5860" w:type="dxa"/>
            <w:vAlign w:val="bottom"/>
            <w:gridSpan w:val="15"/>
          </w:tcPr>
          <w:p>
            <w:pPr>
              <w:spacing w:after="0"/>
              <w:rPr>
                <w:rFonts w:ascii="Times New Roman" w:cs="Times New Roman" w:eastAsia="Times New Roman" w:hAnsi="Times New Roman"/>
                <w:sz w:val="14"/>
                <w:szCs w:val="14"/>
                <w:color w:val="0000EE"/>
              </w:rPr>
            </w:pPr>
            <w:hyperlink r:id="rId62">
              <w:r>
                <w:rPr>
                  <w:rFonts w:ascii="Times New Roman" w:cs="Times New Roman" w:eastAsia="Times New Roman" w:hAnsi="Times New Roman"/>
                  <w:sz w:val="14"/>
                  <w:szCs w:val="14"/>
                  <w:color w:val="0000EE"/>
                </w:rPr>
                <w:t>Dealer Manager Warrants issued to Maxim Group LLC on October 17, 2022</w:t>
              </w:r>
            </w:hyperlink>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Form 8-K</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10/17/22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001-33624</w:t>
            </w:r>
          </w:p>
        </w:tc>
      </w:tr>
      <w:tr>
        <w:trPr>
          <w:trHeight w:val="181"/>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400" w:type="dxa"/>
            <w:vAlign w:val="bottom"/>
            <w:tcBorders>
              <w:top w:val="single" w:sz="8" w:color="0000EE"/>
            </w:tcBorders>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(Exhibit 4.1)</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0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24"/>
                <w:szCs w:val="24"/>
                <w:color w:val="auto"/>
              </w:rPr>
            </w:pPr>
          </w:p>
        </w:tc>
        <w:tc>
          <w:tcPr>
            <w:tcW w:w="5860" w:type="dxa"/>
            <w:vAlign w:val="bottom"/>
            <w:gridSpan w:val="15"/>
          </w:tcPr>
          <w:p>
            <w:pPr>
              <w:spacing w:after="0"/>
              <w:rPr>
                <w:rFonts w:ascii="Times New Roman" w:cs="Times New Roman" w:eastAsia="Times New Roman" w:hAnsi="Times New Roman"/>
                <w:sz w:val="14"/>
                <w:szCs w:val="14"/>
                <w:color w:val="0000EE"/>
              </w:rPr>
            </w:pPr>
            <w:hyperlink r:id="rId63">
              <w:r>
                <w:rPr>
                  <w:rFonts w:ascii="Times New Roman" w:cs="Times New Roman" w:eastAsia="Times New Roman" w:hAnsi="Times New Roman"/>
                  <w:sz w:val="14"/>
                  <w:szCs w:val="14"/>
                  <w:color w:val="0000EE"/>
                </w:rPr>
                <w:t>Dealer Manager Warrants issued to Ascendiant Capital Markets, LLC on October 17, 2022</w:t>
              </w:r>
            </w:hyperlink>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Form 8-K</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10/17/22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001-33624</w:t>
            </w:r>
          </w:p>
        </w:tc>
      </w:tr>
      <w:tr>
        <w:trPr>
          <w:trHeight w:val="181"/>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40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(Exhibit 4.2)</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0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24"/>
                <w:szCs w:val="24"/>
                <w:color w:val="auto"/>
              </w:rPr>
            </w:pPr>
          </w:p>
        </w:tc>
        <w:tc>
          <w:tcPr>
            <w:tcW w:w="144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w w:val="99"/>
              </w:rPr>
            </w:pPr>
            <w:hyperlink r:id="rId64">
              <w:r>
                <w:rPr>
                  <w:rFonts w:ascii="Times New Roman" w:cs="Times New Roman" w:eastAsia="Times New Roman" w:hAnsi="Times New Roman"/>
                  <w:sz w:val="14"/>
                  <w:szCs w:val="14"/>
                  <w:color w:val="0000EE"/>
                  <w:w w:val="99"/>
                </w:rPr>
                <w:t>Form of Class A Warrant</w:t>
              </w:r>
            </w:hyperlink>
          </w:p>
        </w:tc>
        <w:tc>
          <w:tcPr>
            <w:tcW w:w="4420" w:type="dxa"/>
            <w:vAlign w:val="bottom"/>
            <w:gridSpan w:val="10"/>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Form 8-K (Exhibit 4.3)</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10/17/22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001-33624</w:t>
            </w:r>
          </w:p>
        </w:tc>
      </w:tr>
      <w:tr>
        <w:trPr>
          <w:trHeight w:val="319"/>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24"/>
                <w:szCs w:val="24"/>
                <w:color w:val="auto"/>
              </w:rPr>
            </w:pPr>
          </w:p>
        </w:tc>
        <w:tc>
          <w:tcPr>
            <w:tcW w:w="1420" w:type="dxa"/>
            <w:vAlign w:val="bottom"/>
            <w:tcBorders>
              <w:bottom w:val="single" w:sz="8" w:color="0000EE"/>
            </w:tcBorders>
            <w:gridSpan w:val="4"/>
          </w:tcPr>
          <w:p>
            <w:pPr>
              <w:spacing w:after="0"/>
              <w:rPr>
                <w:rFonts w:ascii="Times New Roman" w:cs="Times New Roman" w:eastAsia="Times New Roman" w:hAnsi="Times New Roman"/>
                <w:sz w:val="14"/>
                <w:szCs w:val="14"/>
                <w:color w:val="0000EE"/>
                <w:w w:val="98"/>
              </w:rPr>
            </w:pPr>
            <w:hyperlink r:id="rId65">
              <w:r>
                <w:rPr>
                  <w:rFonts w:ascii="Times New Roman" w:cs="Times New Roman" w:eastAsia="Times New Roman" w:hAnsi="Times New Roman"/>
                  <w:sz w:val="14"/>
                  <w:szCs w:val="14"/>
                  <w:color w:val="0000EE"/>
                  <w:w w:val="98"/>
                </w:rPr>
                <w:t>Form of Class B Warrant</w:t>
              </w:r>
            </w:hyperlink>
          </w:p>
        </w:tc>
        <w:tc>
          <w:tcPr>
            <w:tcW w:w="4440" w:type="dxa"/>
            <w:vAlign w:val="bottom"/>
            <w:gridSpan w:val="11"/>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Form 8-K (Exhibit 4.4)</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10/17/22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001-33624</w:t>
            </w:r>
          </w:p>
        </w:tc>
      </w:tr>
      <w:tr>
        <w:trPr>
          <w:trHeight w:val="319"/>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24"/>
                <w:szCs w:val="24"/>
                <w:color w:val="auto"/>
              </w:rPr>
            </w:pPr>
          </w:p>
        </w:tc>
        <w:tc>
          <w:tcPr>
            <w:tcW w:w="5860" w:type="dxa"/>
            <w:vAlign w:val="bottom"/>
            <w:gridSpan w:val="15"/>
          </w:tcPr>
          <w:p>
            <w:pPr>
              <w:spacing w:after="0"/>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Form of Class C Warrant</w:t>
              </w:r>
            </w:hyperlink>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Form S-1</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2/7/23</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333-269475</w:t>
            </w:r>
          </w:p>
        </w:tc>
      </w:tr>
      <w:tr>
        <w:trPr>
          <w:trHeight w:val="181"/>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(Exhibit 4.13)</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0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24"/>
                <w:szCs w:val="24"/>
                <w:color w:val="auto"/>
              </w:rPr>
            </w:pPr>
          </w:p>
        </w:tc>
        <w:tc>
          <w:tcPr>
            <w:tcW w:w="5860" w:type="dxa"/>
            <w:vAlign w:val="bottom"/>
            <w:gridSpan w:val="15"/>
          </w:tcPr>
          <w:p>
            <w:pPr>
              <w:spacing w:after="0"/>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Form of Pre-Funded Warrant</w:t>
              </w:r>
            </w:hyperlink>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Form S-1</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2/6/23</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333-269475</w:t>
            </w:r>
          </w:p>
        </w:tc>
      </w:tr>
      <w:tr>
        <w:trPr>
          <w:trHeight w:val="181"/>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(Exhibit 4.14)</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0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24"/>
                <w:szCs w:val="24"/>
                <w:color w:val="auto"/>
              </w:rPr>
            </w:pPr>
          </w:p>
        </w:tc>
        <w:tc>
          <w:tcPr>
            <w:tcW w:w="5860" w:type="dxa"/>
            <w:vAlign w:val="bottom"/>
            <w:gridSpan w:val="15"/>
          </w:tcPr>
          <w:p>
            <w:pPr>
              <w:spacing w:after="0"/>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Form of Class D Warrant</w:t>
              </w:r>
            </w:hyperlink>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Form S-1</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2/7/23</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333-269475</w:t>
            </w:r>
          </w:p>
        </w:tc>
      </w:tr>
      <w:tr>
        <w:trPr>
          <w:trHeight w:val="181"/>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(Exhibit 4.15)</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0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4.10</w:t>
            </w:r>
          </w:p>
        </w:tc>
        <w:tc>
          <w:tcPr>
            <w:tcW w:w="120" w:type="dxa"/>
            <w:vAlign w:val="bottom"/>
          </w:tcPr>
          <w:p>
            <w:pPr>
              <w:spacing w:after="0"/>
              <w:rPr>
                <w:sz w:val="24"/>
                <w:szCs w:val="24"/>
                <w:color w:val="auto"/>
              </w:rPr>
            </w:pPr>
          </w:p>
        </w:tc>
        <w:tc>
          <w:tcPr>
            <w:tcW w:w="5860" w:type="dxa"/>
            <w:vAlign w:val="bottom"/>
            <w:gridSpan w:val="15"/>
          </w:tcPr>
          <w:p>
            <w:pPr>
              <w:spacing w:after="0"/>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Form of Placement Agent Warrant</w:t>
              </w:r>
            </w:hyperlink>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Form S-1</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2/6/23</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333-269475</w:t>
            </w:r>
          </w:p>
        </w:tc>
      </w:tr>
      <w:tr>
        <w:trPr>
          <w:trHeight w:val="181"/>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(Exhibit 4.16)</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0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4.11</w:t>
            </w:r>
          </w:p>
        </w:tc>
        <w:tc>
          <w:tcPr>
            <w:tcW w:w="120" w:type="dxa"/>
            <w:vAlign w:val="bottom"/>
          </w:tcPr>
          <w:p>
            <w:pPr>
              <w:spacing w:after="0"/>
              <w:rPr>
                <w:sz w:val="24"/>
                <w:szCs w:val="24"/>
                <w:color w:val="auto"/>
              </w:rPr>
            </w:pPr>
          </w:p>
        </w:tc>
        <w:tc>
          <w:tcPr>
            <w:tcW w:w="5860" w:type="dxa"/>
            <w:vAlign w:val="bottom"/>
            <w:gridSpan w:val="15"/>
          </w:tcPr>
          <w:p>
            <w:pPr>
              <w:spacing w:after="0"/>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Warrant Agency Agreement</w:t>
              </w:r>
            </w:hyperlink>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Form 8-K</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2/9/23</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001-33624</w:t>
            </w:r>
          </w:p>
        </w:tc>
      </w:tr>
      <w:tr>
        <w:trPr>
          <w:trHeight w:val="181"/>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(Exhibit 4.5)</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0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tcPr>
          <w:p>
            <w:pPr>
              <w:spacing w:after="0"/>
              <w:rPr>
                <w:sz w:val="24"/>
                <w:szCs w:val="24"/>
                <w:color w:val="auto"/>
              </w:rPr>
            </w:pPr>
          </w:p>
        </w:tc>
        <w:tc>
          <w:tcPr>
            <w:tcW w:w="5860" w:type="dxa"/>
            <w:vAlign w:val="bottom"/>
            <w:gridSpan w:val="15"/>
          </w:tcPr>
          <w:p>
            <w:pPr>
              <w:spacing w:after="0"/>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Form of Pre-Funded Warrant</w:t>
              </w:r>
            </w:hyperlink>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Form 8-K</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2/2/24</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001-33624</w:t>
            </w:r>
          </w:p>
        </w:tc>
      </w:tr>
      <w:tr>
        <w:trPr>
          <w:trHeight w:val="181"/>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(Exhibit 4.1)</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0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4.13</w:t>
            </w:r>
          </w:p>
        </w:tc>
        <w:tc>
          <w:tcPr>
            <w:tcW w:w="120" w:type="dxa"/>
            <w:vAlign w:val="bottom"/>
          </w:tcPr>
          <w:p>
            <w:pPr>
              <w:spacing w:after="0"/>
              <w:rPr>
                <w:sz w:val="24"/>
                <w:szCs w:val="24"/>
                <w:color w:val="auto"/>
              </w:rPr>
            </w:pPr>
          </w:p>
        </w:tc>
        <w:tc>
          <w:tcPr>
            <w:tcW w:w="5860" w:type="dxa"/>
            <w:vAlign w:val="bottom"/>
            <w:gridSpan w:val="15"/>
          </w:tcPr>
          <w:p>
            <w:pPr>
              <w:spacing w:after="0"/>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Form of Class E Warrant</w:t>
              </w:r>
            </w:hyperlink>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Form 8-K</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2/2/24</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001-33624</w:t>
            </w:r>
          </w:p>
        </w:tc>
      </w:tr>
      <w:tr>
        <w:trPr>
          <w:trHeight w:val="181"/>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(Exhibit 4.2)</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104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97"/>
              </w:rPr>
              <w:t>4.14</w:t>
            </w:r>
          </w:p>
        </w:tc>
        <w:tc>
          <w:tcPr>
            <w:tcW w:w="6320" w:type="dxa"/>
            <w:vAlign w:val="bottom"/>
            <w:gridSpan w:val="13"/>
          </w:tcPr>
          <w:p>
            <w:pPr>
              <w:spacing w:after="0"/>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Form of Class F Warrant</w:t>
              </w:r>
            </w:hyperlink>
          </w:p>
        </w:tc>
        <w:tc>
          <w:tcPr>
            <w:tcW w:w="206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Form 8-K</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2/2/24</w:t>
            </w:r>
          </w:p>
        </w:tc>
        <w:tc>
          <w:tcPr>
            <w:tcW w:w="90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001-33624</w:t>
            </w:r>
          </w:p>
        </w:tc>
      </w:tr>
      <w:tr>
        <w:trPr>
          <w:trHeight w:val="181"/>
        </w:trPr>
        <w:tc>
          <w:tcPr>
            <w:tcW w:w="1040" w:type="dxa"/>
            <w:vAlign w:val="bottom"/>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6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(Exhibit 4.3)</w:t>
            </w: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08"/>
        </w:trPr>
        <w:tc>
          <w:tcPr>
            <w:tcW w:w="104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97"/>
              </w:rPr>
              <w:t>4.15</w:t>
            </w:r>
          </w:p>
        </w:tc>
        <w:tc>
          <w:tcPr>
            <w:tcW w:w="6320" w:type="dxa"/>
            <w:vAlign w:val="bottom"/>
            <w:gridSpan w:val="13"/>
          </w:tcPr>
          <w:p>
            <w:pPr>
              <w:spacing w:after="0"/>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Form of Placement Agent Warrant</w:t>
              </w:r>
            </w:hyperlink>
          </w:p>
        </w:tc>
        <w:tc>
          <w:tcPr>
            <w:tcW w:w="206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Form 8-K</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2/2/24</w:t>
            </w:r>
          </w:p>
        </w:tc>
        <w:tc>
          <w:tcPr>
            <w:tcW w:w="90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001-33624</w:t>
            </w:r>
          </w:p>
        </w:tc>
      </w:tr>
      <w:tr>
        <w:trPr>
          <w:trHeight w:val="181"/>
        </w:trPr>
        <w:tc>
          <w:tcPr>
            <w:tcW w:w="1040" w:type="dxa"/>
            <w:vAlign w:val="bottom"/>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6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(Exhibit 4.4)</w:t>
            </w: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08"/>
        </w:trPr>
        <w:tc>
          <w:tcPr>
            <w:tcW w:w="104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97"/>
              </w:rPr>
              <w:t>4.16</w:t>
            </w:r>
          </w:p>
        </w:tc>
        <w:tc>
          <w:tcPr>
            <w:tcW w:w="6320" w:type="dxa"/>
            <w:vAlign w:val="bottom"/>
            <w:gridSpan w:val="13"/>
          </w:tcPr>
          <w:p>
            <w:pPr>
              <w:spacing w:after="0"/>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Form of Warrant Agency Agreement</w:t>
              </w:r>
            </w:hyperlink>
          </w:p>
        </w:tc>
        <w:tc>
          <w:tcPr>
            <w:tcW w:w="206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Form 8-K</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2/2/24</w:t>
            </w:r>
          </w:p>
        </w:tc>
        <w:tc>
          <w:tcPr>
            <w:tcW w:w="90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001-33624</w:t>
            </w:r>
          </w:p>
        </w:tc>
      </w:tr>
      <w:tr>
        <w:trPr>
          <w:trHeight w:val="181"/>
        </w:trPr>
        <w:tc>
          <w:tcPr>
            <w:tcW w:w="1040" w:type="dxa"/>
            <w:vAlign w:val="bottom"/>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6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(Exhibit 4.5)</w:t>
            </w: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08"/>
        </w:trPr>
        <w:tc>
          <w:tcPr>
            <w:tcW w:w="104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97"/>
              </w:rPr>
              <w:t>4.17</w:t>
            </w:r>
          </w:p>
        </w:tc>
        <w:tc>
          <w:tcPr>
            <w:tcW w:w="6320" w:type="dxa"/>
            <w:vAlign w:val="bottom"/>
            <w:gridSpan w:val="13"/>
          </w:tcPr>
          <w:p>
            <w:pPr>
              <w:spacing w:after="0"/>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Form of Senior Indenture, to be entered into between the Registrant and the trustee designated therein</w:t>
              </w:r>
            </w:hyperlink>
          </w:p>
        </w:tc>
        <w:tc>
          <w:tcPr>
            <w:tcW w:w="206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Form S-3</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10/12/23</w:t>
            </w:r>
          </w:p>
        </w:tc>
        <w:tc>
          <w:tcPr>
            <w:tcW w:w="90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rPr>
              <w:t>333-274951</w:t>
            </w:r>
          </w:p>
        </w:tc>
      </w:tr>
      <w:tr>
        <w:trPr>
          <w:trHeight w:val="181"/>
        </w:trPr>
        <w:tc>
          <w:tcPr>
            <w:tcW w:w="1040" w:type="dxa"/>
            <w:vAlign w:val="bottom"/>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8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60" w:type="dxa"/>
            <w:vAlign w:val="bottom"/>
          </w:tcPr>
          <w:p>
            <w:pPr>
              <w:spacing w:after="0"/>
              <w:rPr>
                <w:sz w:val="15"/>
                <w:szCs w:val="15"/>
                <w:color w:val="auto"/>
              </w:rPr>
            </w:pPr>
          </w:p>
        </w:tc>
        <w:tc>
          <w:tcPr>
            <w:tcW w:w="206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(Exhibit 4.14)</w:t>
            </w: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08"/>
        </w:trPr>
        <w:tc>
          <w:tcPr>
            <w:tcW w:w="104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97"/>
              </w:rPr>
              <w:t>4.18</w:t>
            </w:r>
          </w:p>
        </w:tc>
        <w:tc>
          <w:tcPr>
            <w:tcW w:w="6320" w:type="dxa"/>
            <w:vAlign w:val="bottom"/>
            <w:gridSpan w:val="13"/>
          </w:tcPr>
          <w:p>
            <w:pPr>
              <w:spacing w:after="0"/>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Form of Subordinated Indenture, to be entered into between the Registrant and the trustee designated</w:t>
              </w:r>
            </w:hyperlink>
          </w:p>
        </w:tc>
        <w:tc>
          <w:tcPr>
            <w:tcW w:w="206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Form S-3</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10/12/23</w:t>
            </w:r>
          </w:p>
        </w:tc>
        <w:tc>
          <w:tcPr>
            <w:tcW w:w="90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rPr>
              <w:t>333-274951</w:t>
            </w:r>
          </w:p>
        </w:tc>
      </w:tr>
      <w:tr>
        <w:trPr>
          <w:trHeight w:val="150"/>
        </w:trPr>
        <w:tc>
          <w:tcPr>
            <w:tcW w:w="1040" w:type="dxa"/>
            <w:vAlign w:val="bottom"/>
          </w:tcPr>
          <w:p>
            <w:pPr>
              <w:spacing w:after="0"/>
              <w:rPr>
                <w:sz w:val="13"/>
                <w:szCs w:val="13"/>
                <w:color w:val="auto"/>
              </w:rPr>
            </w:pPr>
          </w:p>
        </w:tc>
        <w:tc>
          <w:tcPr>
            <w:tcW w:w="5740" w:type="dxa"/>
            <w:vAlign w:val="bottom"/>
            <w:tcBorders>
              <w:top w:val="single" w:sz="8" w:color="0000EE"/>
            </w:tcBorders>
            <w:gridSpan w:val="11"/>
          </w:tcPr>
          <w:p>
            <w:pPr>
              <w:spacing w:after="0" w:line="150" w:lineRule="exact"/>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therein</w:t>
              </w:r>
            </w:hyperlink>
          </w:p>
        </w:tc>
        <w:tc>
          <w:tcPr>
            <w:tcW w:w="580" w:type="dxa"/>
            <w:vAlign w:val="bottom"/>
            <w:gridSpan w:val="2"/>
          </w:tcPr>
          <w:p>
            <w:pPr>
              <w:spacing w:after="0"/>
              <w:rPr>
                <w:sz w:val="13"/>
                <w:szCs w:val="13"/>
                <w:color w:val="auto"/>
              </w:rPr>
            </w:pPr>
          </w:p>
        </w:tc>
        <w:tc>
          <w:tcPr>
            <w:tcW w:w="2060" w:type="dxa"/>
            <w:vAlign w:val="bottom"/>
          </w:tcPr>
          <w:p>
            <w:pPr>
              <w:jc w:val="center"/>
              <w:ind w:left="349"/>
              <w:spacing w:after="0" w:line="150" w:lineRule="exact"/>
              <w:rPr>
                <w:sz w:val="20"/>
                <w:szCs w:val="20"/>
                <w:color w:val="auto"/>
              </w:rPr>
            </w:pPr>
            <w:r>
              <w:rPr>
                <w:rFonts w:ascii="Times New Roman" w:cs="Times New Roman" w:eastAsia="Times New Roman" w:hAnsi="Times New Roman"/>
                <w:sz w:val="14"/>
                <w:szCs w:val="14"/>
                <w:color w:val="auto"/>
              </w:rPr>
              <w:t>(Exhibit 4.16)</w:t>
            </w: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9"/>
        </w:trPr>
        <w:tc>
          <w:tcPr>
            <w:tcW w:w="104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97"/>
              </w:rPr>
              <w:t>4.19</w:t>
            </w:r>
          </w:p>
        </w:tc>
        <w:tc>
          <w:tcPr>
            <w:tcW w:w="6320" w:type="dxa"/>
            <w:vAlign w:val="bottom"/>
            <w:gridSpan w:val="13"/>
          </w:tcPr>
          <w:p>
            <w:pPr>
              <w:spacing w:after="0"/>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Form of Pre-Funded Warrant</w:t>
              </w:r>
            </w:hyperlink>
          </w:p>
        </w:tc>
        <w:tc>
          <w:tcPr>
            <w:tcW w:w="206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Form 8-K</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02/26/25</w:t>
            </w:r>
          </w:p>
        </w:tc>
        <w:tc>
          <w:tcPr>
            <w:tcW w:w="90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001-33624</w:t>
            </w:r>
          </w:p>
        </w:tc>
      </w:tr>
      <w:tr>
        <w:trPr>
          <w:trHeight w:val="181"/>
        </w:trPr>
        <w:tc>
          <w:tcPr>
            <w:tcW w:w="1040" w:type="dxa"/>
            <w:vAlign w:val="bottom"/>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6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(Exhibit 4.1)</w:t>
            </w: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08"/>
        </w:trPr>
        <w:tc>
          <w:tcPr>
            <w:tcW w:w="104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97"/>
              </w:rPr>
              <w:t>4.20</w:t>
            </w:r>
          </w:p>
        </w:tc>
        <w:tc>
          <w:tcPr>
            <w:tcW w:w="6320" w:type="dxa"/>
            <w:vAlign w:val="bottom"/>
            <w:gridSpan w:val="13"/>
          </w:tcPr>
          <w:p>
            <w:pPr>
              <w:spacing w:after="0"/>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Form of Common Warrant</w:t>
              </w:r>
            </w:hyperlink>
          </w:p>
        </w:tc>
        <w:tc>
          <w:tcPr>
            <w:tcW w:w="206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Form 8-K</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02/26/25</w:t>
            </w:r>
          </w:p>
        </w:tc>
        <w:tc>
          <w:tcPr>
            <w:tcW w:w="90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001-33624</w:t>
            </w:r>
          </w:p>
        </w:tc>
      </w:tr>
      <w:tr>
        <w:trPr>
          <w:trHeight w:val="181"/>
        </w:trPr>
        <w:tc>
          <w:tcPr>
            <w:tcW w:w="1040" w:type="dxa"/>
            <w:vAlign w:val="bottom"/>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6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(Exhibit 4.2)</w:t>
            </w: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08"/>
        </w:trPr>
        <w:tc>
          <w:tcPr>
            <w:tcW w:w="104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97"/>
              </w:rPr>
              <w:t>4.21</w:t>
            </w:r>
          </w:p>
        </w:tc>
        <w:tc>
          <w:tcPr>
            <w:tcW w:w="6320" w:type="dxa"/>
            <w:vAlign w:val="bottom"/>
            <w:gridSpan w:val="13"/>
          </w:tcPr>
          <w:p>
            <w:pPr>
              <w:spacing w:after="0"/>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Form of Placement Agent Warrant</w:t>
              </w:r>
            </w:hyperlink>
          </w:p>
        </w:tc>
        <w:tc>
          <w:tcPr>
            <w:tcW w:w="206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Form 8-K</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02/26/25</w:t>
            </w:r>
          </w:p>
        </w:tc>
        <w:tc>
          <w:tcPr>
            <w:tcW w:w="90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001-33624</w:t>
            </w:r>
          </w:p>
        </w:tc>
      </w:tr>
      <w:tr>
        <w:trPr>
          <w:trHeight w:val="181"/>
        </w:trPr>
        <w:tc>
          <w:tcPr>
            <w:tcW w:w="1040" w:type="dxa"/>
            <w:vAlign w:val="bottom"/>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6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(Exhibit 4.3)</w:t>
            </w: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08"/>
        </w:trPr>
        <w:tc>
          <w:tcPr>
            <w:tcW w:w="104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97"/>
              </w:rPr>
              <w:t>4.22</w:t>
            </w:r>
          </w:p>
        </w:tc>
        <w:tc>
          <w:tcPr>
            <w:tcW w:w="940" w:type="dxa"/>
            <w:vAlign w:val="bottom"/>
            <w:tcBorders>
              <w:bottom w:val="single" w:sz="8" w:color="0000EE"/>
            </w:tcBorders>
            <w:gridSpan w:val="2"/>
          </w:tcPr>
          <w:p>
            <w:pPr>
              <w:spacing w:after="0"/>
              <w:rPr>
                <w:rFonts w:ascii="Times New Roman" w:cs="Times New Roman" w:eastAsia="Times New Roman" w:hAnsi="Times New Roman"/>
                <w:sz w:val="14"/>
                <w:szCs w:val="14"/>
                <w:color w:val="0000EE"/>
                <w:w w:val="96"/>
              </w:rPr>
            </w:pPr>
            <w:hyperlink r:id="rId82">
              <w:r>
                <w:rPr>
                  <w:rFonts w:ascii="Times New Roman" w:cs="Times New Roman" w:eastAsia="Times New Roman" w:hAnsi="Times New Roman"/>
                  <w:sz w:val="14"/>
                  <w:szCs w:val="14"/>
                  <w:color w:val="0000EE"/>
                  <w:w w:val="96"/>
                </w:rPr>
                <w:t>Form of Warrant</w:t>
              </w:r>
            </w:hyperlink>
          </w:p>
        </w:tc>
        <w:tc>
          <w:tcPr>
            <w:tcW w:w="5380" w:type="dxa"/>
            <w:vAlign w:val="bottom"/>
            <w:gridSpan w:val="11"/>
          </w:tcPr>
          <w:p>
            <w:pPr>
              <w:spacing w:after="0"/>
              <w:rPr>
                <w:sz w:val="24"/>
                <w:szCs w:val="24"/>
                <w:color w:val="auto"/>
              </w:rPr>
            </w:pPr>
          </w:p>
        </w:tc>
        <w:tc>
          <w:tcPr>
            <w:tcW w:w="206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Form 8-K (Exhibit 4.1)</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6/27/25</w:t>
            </w:r>
          </w:p>
        </w:tc>
        <w:tc>
          <w:tcPr>
            <w:tcW w:w="90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001-33624</w:t>
            </w:r>
          </w:p>
        </w:tc>
      </w:tr>
      <w:tr>
        <w:trPr>
          <w:trHeight w:val="489"/>
        </w:trPr>
        <w:tc>
          <w:tcPr>
            <w:tcW w:w="104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97"/>
              </w:rPr>
              <w:t>4.23</w:t>
            </w:r>
          </w:p>
        </w:tc>
        <w:tc>
          <w:tcPr>
            <w:tcW w:w="6320" w:type="dxa"/>
            <w:vAlign w:val="bottom"/>
            <w:gridSpan w:val="13"/>
          </w:tcPr>
          <w:p>
            <w:pPr>
              <w:spacing w:after="0"/>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Form of New Warrant</w:t>
              </w:r>
            </w:hyperlink>
          </w:p>
        </w:tc>
        <w:tc>
          <w:tcPr>
            <w:tcW w:w="206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Form 8-K (Exhibit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9/9/25</w:t>
            </w:r>
          </w:p>
        </w:tc>
        <w:tc>
          <w:tcPr>
            <w:tcW w:w="90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001-33624</w:t>
            </w:r>
          </w:p>
        </w:tc>
      </w:tr>
      <w:tr>
        <w:trPr>
          <w:trHeight w:val="181"/>
        </w:trPr>
        <w:tc>
          <w:tcPr>
            <w:tcW w:w="1040" w:type="dxa"/>
            <w:vAlign w:val="bottom"/>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6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10.2)</w:t>
            </w: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08"/>
        </w:trPr>
        <w:tc>
          <w:tcPr>
            <w:tcW w:w="104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97"/>
              </w:rPr>
              <w:t>4.24</w:t>
            </w:r>
          </w:p>
        </w:tc>
        <w:tc>
          <w:tcPr>
            <w:tcW w:w="6320" w:type="dxa"/>
            <w:vAlign w:val="bottom"/>
            <w:gridSpan w:val="13"/>
          </w:tcPr>
          <w:p>
            <w:pPr>
              <w:spacing w:after="0"/>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Form of Placement Agent Warrant</w:t>
              </w:r>
            </w:hyperlink>
          </w:p>
        </w:tc>
        <w:tc>
          <w:tcPr>
            <w:tcW w:w="206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Form 8-K (Exhibit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9/9/25</w:t>
            </w:r>
          </w:p>
        </w:tc>
        <w:tc>
          <w:tcPr>
            <w:tcW w:w="90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001-33624</w:t>
            </w:r>
          </w:p>
        </w:tc>
      </w:tr>
      <w:tr>
        <w:trPr>
          <w:trHeight w:val="181"/>
        </w:trPr>
        <w:tc>
          <w:tcPr>
            <w:tcW w:w="1040" w:type="dxa"/>
            <w:vAlign w:val="bottom"/>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6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10.3)</w:t>
            </w: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08"/>
        </w:trPr>
        <w:tc>
          <w:tcPr>
            <w:tcW w:w="104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97"/>
              </w:rPr>
              <w:t>4.25</w:t>
            </w:r>
          </w:p>
        </w:tc>
        <w:tc>
          <w:tcPr>
            <w:tcW w:w="6320" w:type="dxa"/>
            <w:vAlign w:val="bottom"/>
            <w:gridSpan w:val="13"/>
          </w:tcPr>
          <w:p>
            <w:pPr>
              <w:spacing w:after="0"/>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Form of Additional Placement Agent Warrant</w:t>
              </w:r>
            </w:hyperlink>
          </w:p>
        </w:tc>
        <w:tc>
          <w:tcPr>
            <w:tcW w:w="206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Form 8-K (Exhibit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9/9/25</w:t>
            </w:r>
          </w:p>
        </w:tc>
        <w:tc>
          <w:tcPr>
            <w:tcW w:w="90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001-33624</w:t>
            </w:r>
          </w:p>
        </w:tc>
      </w:tr>
      <w:tr>
        <w:trPr>
          <w:trHeight w:val="181"/>
        </w:trPr>
        <w:tc>
          <w:tcPr>
            <w:tcW w:w="1040" w:type="dxa"/>
            <w:vAlign w:val="bottom"/>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6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10.4)</w:t>
            </w: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08"/>
        </w:trPr>
        <w:tc>
          <w:tcPr>
            <w:tcW w:w="104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97"/>
              </w:rPr>
              <w:t>4.26</w:t>
            </w:r>
          </w:p>
        </w:tc>
        <w:tc>
          <w:tcPr>
            <w:tcW w:w="6320" w:type="dxa"/>
            <w:vAlign w:val="bottom"/>
            <w:gridSpan w:val="13"/>
          </w:tcPr>
          <w:p>
            <w:pPr>
              <w:spacing w:after="0"/>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Form of Class A Common Stock Purchase Warrant</w:t>
              </w:r>
            </w:hyperlink>
          </w:p>
        </w:tc>
        <w:tc>
          <w:tcPr>
            <w:tcW w:w="206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Form 8-K (Exhibit 4.1)</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6/3/26</w:t>
            </w:r>
          </w:p>
        </w:tc>
        <w:tc>
          <w:tcPr>
            <w:tcW w:w="90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001-33624</w:t>
            </w:r>
          </w:p>
        </w:tc>
      </w:tr>
      <w:tr>
        <w:trPr>
          <w:trHeight w:val="319"/>
        </w:trPr>
        <w:tc>
          <w:tcPr>
            <w:tcW w:w="104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97"/>
              </w:rPr>
              <w:t>4.27</w:t>
            </w:r>
          </w:p>
        </w:tc>
        <w:tc>
          <w:tcPr>
            <w:tcW w:w="288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4"/>
                <w:szCs w:val="14"/>
                <w:color w:val="0000EE"/>
                <w:w w:val="99"/>
              </w:rPr>
            </w:pPr>
            <w:hyperlink r:id="rId87">
              <w:r>
                <w:rPr>
                  <w:rFonts w:ascii="Times New Roman" w:cs="Times New Roman" w:eastAsia="Times New Roman" w:hAnsi="Times New Roman"/>
                  <w:sz w:val="14"/>
                  <w:szCs w:val="14"/>
                  <w:color w:val="0000EE"/>
                  <w:w w:val="99"/>
                </w:rPr>
                <w:t>Form of Class B Common Stock Purchase Warrant</w:t>
              </w:r>
            </w:hyperlink>
          </w:p>
        </w:tc>
        <w:tc>
          <w:tcPr>
            <w:tcW w:w="3440" w:type="dxa"/>
            <w:vAlign w:val="bottom"/>
            <w:gridSpan w:val="3"/>
          </w:tcPr>
          <w:p>
            <w:pPr>
              <w:spacing w:after="0"/>
              <w:rPr>
                <w:sz w:val="24"/>
                <w:szCs w:val="24"/>
                <w:color w:val="auto"/>
              </w:rPr>
            </w:pPr>
          </w:p>
        </w:tc>
        <w:tc>
          <w:tcPr>
            <w:tcW w:w="206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Form 8-K (Exhibit 4.2)</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6/3/26</w:t>
            </w:r>
          </w:p>
        </w:tc>
        <w:tc>
          <w:tcPr>
            <w:tcW w:w="90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001-33624</w:t>
            </w:r>
          </w:p>
        </w:tc>
      </w:tr>
    </w:tbl>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4.28</w:t>
            </w:r>
          </w:p>
        </w:tc>
        <w:tc>
          <w:tcPr>
            <w:tcW w:w="550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Form of Placement Agent Common Stock Purchase Warrant</w:t>
            </w:r>
          </w:p>
        </w:tc>
        <w:tc>
          <w:tcPr>
            <w:tcW w:w="474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X</w:t>
            </w:r>
          </w:p>
        </w:tc>
      </w:tr>
      <w:tr>
        <w:trPr>
          <w:trHeight w:val="31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5.1</w:t>
            </w:r>
          </w:p>
        </w:tc>
        <w:tc>
          <w:tcPr>
            <w:tcW w:w="34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Opinion of Dorsey &amp; Whitney LLP</w:t>
            </w:r>
          </w:p>
        </w:tc>
        <w:tc>
          <w:tcPr>
            <w:tcW w:w="2100" w:type="dxa"/>
            <w:vAlign w:val="bottom"/>
            <w:gridSpan w:val="3"/>
          </w:tcPr>
          <w:p>
            <w:pPr>
              <w:spacing w:after="0"/>
              <w:rPr>
                <w:sz w:val="24"/>
                <w:szCs w:val="24"/>
                <w:color w:val="auto"/>
              </w:rPr>
            </w:pPr>
          </w:p>
        </w:tc>
        <w:tc>
          <w:tcPr>
            <w:tcW w:w="474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X</w:t>
            </w:r>
          </w:p>
        </w:tc>
      </w:tr>
      <w:tr>
        <w:trPr>
          <w:trHeight w:val="20"/>
        </w:trPr>
        <w:tc>
          <w:tcPr>
            <w:tcW w:w="10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31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550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Consent of Independent Registered Public Accounting Firm</w:t>
            </w:r>
          </w:p>
        </w:tc>
        <w:tc>
          <w:tcPr>
            <w:tcW w:w="474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X</w:t>
            </w:r>
          </w:p>
        </w:tc>
      </w:tr>
      <w:tr>
        <w:trPr>
          <w:trHeight w:val="20"/>
        </w:trPr>
        <w:tc>
          <w:tcPr>
            <w:tcW w:w="10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31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34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Consent of Dorsey &amp; Whitney LLP (included in Exhibit 5.1)</w:t>
            </w:r>
          </w:p>
        </w:tc>
        <w:tc>
          <w:tcPr>
            <w:tcW w:w="2060" w:type="dxa"/>
            <w:vAlign w:val="bottom"/>
            <w:gridSpan w:val="2"/>
          </w:tcPr>
          <w:p>
            <w:pPr>
              <w:spacing w:after="0"/>
              <w:rPr>
                <w:sz w:val="24"/>
                <w:szCs w:val="24"/>
                <w:color w:val="auto"/>
              </w:rPr>
            </w:pPr>
          </w:p>
        </w:tc>
        <w:tc>
          <w:tcPr>
            <w:tcW w:w="474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X</w:t>
            </w:r>
          </w:p>
        </w:tc>
      </w:tr>
      <w:tr>
        <w:trPr>
          <w:trHeight w:val="31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550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Power of Attorney (included on the signature page to this registration statement)</w:t>
            </w:r>
          </w:p>
        </w:tc>
        <w:tc>
          <w:tcPr>
            <w:tcW w:w="474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X</w:t>
            </w:r>
          </w:p>
        </w:tc>
      </w:tr>
      <w:tr>
        <w:trPr>
          <w:trHeight w:val="31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45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rPr>
              <w:t>Filing Fee Table</w:t>
            </w:r>
          </w:p>
        </w:tc>
        <w:tc>
          <w:tcPr>
            <w:tcW w:w="960" w:type="dxa"/>
            <w:vAlign w:val="bottom"/>
          </w:tcPr>
          <w:p>
            <w:pPr>
              <w:spacing w:after="0"/>
              <w:rPr>
                <w:sz w:val="24"/>
                <w:szCs w:val="24"/>
                <w:color w:val="auto"/>
              </w:rPr>
            </w:pPr>
          </w:p>
        </w:tc>
        <w:tc>
          <w:tcPr>
            <w:tcW w:w="474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X</w:t>
            </w:r>
          </w:p>
        </w:tc>
      </w:tr>
      <w:tr>
        <w:trPr>
          <w:trHeight w:val="351"/>
        </w:trPr>
        <w:tc>
          <w:tcPr>
            <w:tcW w:w="104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4"/>
                <w:szCs w:val="14"/>
                <w:color w:val="auto"/>
              </w:rPr>
              <w:t>II-3</w:t>
            </w: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8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(a)(1) To file, during any period in which offers or sales are being made, a post-effective amendment to this registration statement:</w:t>
      </w:r>
    </w:p>
    <w:p>
      <w:pPr>
        <w:spacing w:after="0" w:line="178" w:lineRule="exact"/>
        <w:rPr>
          <w:sz w:val="20"/>
          <w:szCs w:val="20"/>
          <w:color w:val="auto"/>
        </w:rPr>
      </w:pPr>
    </w:p>
    <w:p>
      <w:pPr>
        <w:ind w:left="680" w:hanging="166"/>
        <w:spacing w:after="0"/>
        <w:tabs>
          <w:tab w:leader="none" w:pos="68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78" w:lineRule="exact"/>
        <w:rPr>
          <w:rFonts w:ascii="Times New Roman" w:cs="Times New Roman" w:eastAsia="Times New Roman" w:hAnsi="Times New Roman"/>
          <w:sz w:val="14"/>
          <w:szCs w:val="14"/>
          <w:color w:val="auto"/>
        </w:rPr>
      </w:pPr>
    </w:p>
    <w:p>
      <w:pPr>
        <w:jc w:val="both"/>
        <w:ind w:left="520" w:hanging="6"/>
        <w:spacing w:after="0" w:line="261" w:lineRule="auto"/>
        <w:tabs>
          <w:tab w:leader="none" w:pos="732"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 exhibit to the effective registration statement;</w:t>
      </w:r>
    </w:p>
    <w:p>
      <w:pPr>
        <w:spacing w:after="0" w:line="142" w:lineRule="exact"/>
        <w:rPr>
          <w:rFonts w:ascii="Times New Roman" w:cs="Times New Roman" w:eastAsia="Times New Roman" w:hAnsi="Times New Roman"/>
          <w:sz w:val="14"/>
          <w:szCs w:val="14"/>
          <w:color w:val="auto"/>
        </w:rPr>
      </w:pPr>
    </w:p>
    <w:p>
      <w:pPr>
        <w:jc w:val="both"/>
        <w:ind w:left="520" w:hanging="6"/>
        <w:spacing w:after="0" w:line="261" w:lineRule="auto"/>
        <w:tabs>
          <w:tab w:leader="none" w:pos="785"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 provided, however, that paragraphs (a)(1)(i), (a)(1)(ii) and (a)(1)(iii) of this section do not apply if the registration statement is on Form S-3 and the information required to be included in a post-effective amendment by those paragraphs is contained in reports filed with or furnished to the SEC by the registrant pursuant to Section 13 or Section 15(d) of the Securities Exchange Act of 1934 (the “Exchange Act”) that are incorporated by reference in the registration statement, or is contained in a form of prospectus filed pursuant to Rule 424(b) that is part of the registration statement.</w:t>
      </w:r>
    </w:p>
    <w:p>
      <w:pPr>
        <w:spacing w:after="0" w:line="142" w:lineRule="exact"/>
        <w:rPr>
          <w:rFonts w:ascii="Times New Roman" w:cs="Times New Roman" w:eastAsia="Times New Roman" w:hAnsi="Times New Roman"/>
          <w:sz w:val="14"/>
          <w:szCs w:val="14"/>
          <w:color w:val="auto"/>
        </w:rPr>
      </w:pPr>
    </w:p>
    <w:p>
      <w:pPr>
        <w:ind w:firstLine="5"/>
        <w:spacing w:after="0" w:line="286" w:lineRule="auto"/>
        <w:tabs>
          <w:tab w:leader="none" w:pos="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5"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7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78" w:lineRule="exact"/>
        <w:rPr>
          <w:rFonts w:ascii="Times New Roman" w:cs="Times New Roman" w:eastAsia="Times New Roman" w:hAnsi="Times New Roman"/>
          <w:sz w:val="14"/>
          <w:szCs w:val="14"/>
          <w:color w:val="auto"/>
        </w:rPr>
      </w:pPr>
    </w:p>
    <w:p>
      <w:pPr>
        <w:ind w:left="520" w:hanging="6"/>
        <w:spacing w:after="0" w:line="286" w:lineRule="auto"/>
        <w:tabs>
          <w:tab w:leader="none" w:pos="703"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35" w:name="page36"/>
    <w:bookmarkEnd w:id="35"/>
    <w:p>
      <w:pPr>
        <w:jc w:val="both"/>
        <w:ind w:left="520" w:hanging="6"/>
        <w:spacing w:after="0" w:line="257" w:lineRule="auto"/>
        <w:tabs>
          <w:tab w:leader="none" w:pos="732"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47" w:lineRule="exact"/>
        <w:rPr>
          <w:rFonts w:ascii="Times New Roman" w:cs="Times New Roman" w:eastAsia="Times New Roman" w:hAnsi="Times New Roman"/>
          <w:sz w:val="14"/>
          <w:szCs w:val="14"/>
          <w:color w:val="auto"/>
        </w:rPr>
      </w:pPr>
    </w:p>
    <w:p>
      <w:pPr>
        <w:jc w:val="both"/>
        <w:ind w:firstLine="5"/>
        <w:spacing w:after="0" w:line="264" w:lineRule="auto"/>
        <w:tabs>
          <w:tab w:leader="none" w:pos="19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9" w:lineRule="exact"/>
        <w:rPr>
          <w:rFonts w:ascii="Times New Roman" w:cs="Times New Roman" w:eastAsia="Times New Roman" w:hAnsi="Times New Roman"/>
          <w:sz w:val="14"/>
          <w:szCs w:val="14"/>
          <w:color w:val="auto"/>
        </w:rPr>
      </w:pPr>
    </w:p>
    <w:p>
      <w:pPr>
        <w:jc w:val="both"/>
        <w:ind w:firstLine="5"/>
        <w:spacing w:after="0" w:line="259" w:lineRule="auto"/>
        <w:tabs>
          <w:tab w:leader="none" w:pos="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of the registrant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0"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Salt Lake City, State of Utah, on this 24th day of June, 2026.</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8280" w:type="dxa"/>
            <w:vAlign w:val="bottom"/>
            <w:gridSpan w:val="2"/>
          </w:tcPr>
          <w:p>
            <w:pPr>
              <w:ind w:left="2660"/>
              <w:spacing w:after="0"/>
              <w:rPr>
                <w:sz w:val="20"/>
                <w:szCs w:val="20"/>
                <w:color w:val="auto"/>
              </w:rPr>
            </w:pPr>
            <w:r>
              <w:rPr>
                <w:rFonts w:ascii="Times New Roman" w:cs="Times New Roman" w:eastAsia="Times New Roman" w:hAnsi="Times New Roman"/>
                <w:sz w:val="14"/>
                <w:szCs w:val="14"/>
                <w:b w:val="1"/>
                <w:bCs w:val="1"/>
                <w:color w:val="auto"/>
              </w:rPr>
              <w:t>SINTX Technologies, Inc.</w:t>
            </w:r>
          </w:p>
        </w:tc>
      </w:tr>
      <w:tr>
        <w:trPr>
          <w:trHeight w:val="339"/>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Date: June 24, 2026</w:t>
            </w:r>
          </w:p>
        </w:tc>
        <w:tc>
          <w:tcPr>
            <w:tcW w:w="8280" w:type="dxa"/>
            <w:vAlign w:val="bottom"/>
            <w:gridSpan w:val="2"/>
          </w:tcPr>
          <w:p>
            <w:pPr>
              <w:ind w:left="26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color w:val="auto"/>
              </w:rPr>
              <w:t>/s/ Eric Olson</w:t>
            </w:r>
          </w:p>
        </w:tc>
      </w:tr>
      <w:tr>
        <w:trPr>
          <w:trHeight w:val="146"/>
        </w:trPr>
        <w:tc>
          <w:tcPr>
            <w:tcW w:w="30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5300" w:type="dxa"/>
            <w:vAlign w:val="bottom"/>
            <w:tcBorders>
              <w:top w:val="single" w:sz="8" w:color="auto"/>
            </w:tcBorders>
          </w:tcPr>
          <w:p>
            <w:pPr>
              <w:spacing w:after="0" w:line="146" w:lineRule="exact"/>
              <w:rPr>
                <w:sz w:val="20"/>
                <w:szCs w:val="20"/>
                <w:color w:val="auto"/>
              </w:rPr>
            </w:pPr>
            <w:r>
              <w:rPr>
                <w:rFonts w:ascii="Times New Roman" w:cs="Times New Roman" w:eastAsia="Times New Roman" w:hAnsi="Times New Roman"/>
                <w:sz w:val="14"/>
                <w:szCs w:val="14"/>
                <w:color w:val="auto"/>
              </w:rPr>
              <w:t>Eric Olson</w:t>
            </w:r>
          </w:p>
        </w:tc>
      </w:tr>
      <w:tr>
        <w:trPr>
          <w:trHeight w:val="184"/>
        </w:trPr>
        <w:tc>
          <w:tcPr>
            <w:tcW w:w="30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 and Chairman of the Board of Directors</w:t>
            </w:r>
          </w:p>
        </w:tc>
      </w:tr>
      <w:tr>
        <w:trPr>
          <w:trHeight w:val="339"/>
        </w:trPr>
        <w:tc>
          <w:tcPr>
            <w:tcW w:w="3000" w:type="dxa"/>
            <w:vAlign w:val="bottom"/>
          </w:tcPr>
          <w:p>
            <w:pPr>
              <w:spacing w:after="0"/>
              <w:rPr>
                <w:sz w:val="24"/>
                <w:szCs w:val="24"/>
                <w:color w:val="auto"/>
              </w:rPr>
            </w:pPr>
          </w:p>
        </w:tc>
        <w:tc>
          <w:tcPr>
            <w:tcW w:w="8280" w:type="dxa"/>
            <w:vAlign w:val="bottom"/>
            <w:gridSpan w:val="2"/>
          </w:tcPr>
          <w:p>
            <w:pPr>
              <w:ind w:left="1840"/>
              <w:spacing w:after="0"/>
              <w:rPr>
                <w:sz w:val="20"/>
                <w:szCs w:val="20"/>
                <w:color w:val="auto"/>
              </w:rPr>
            </w:pPr>
            <w:r>
              <w:rPr>
                <w:rFonts w:ascii="Times New Roman" w:cs="Times New Roman" w:eastAsia="Times New Roman" w:hAnsi="Times New Roman"/>
                <w:sz w:val="14"/>
                <w:szCs w:val="14"/>
                <w:b w:val="1"/>
                <w:bCs w:val="1"/>
                <w:color w:val="auto"/>
              </w:rPr>
              <w:t>POWER OF ATTORNEY</w:t>
            </w:r>
          </w:p>
        </w:tc>
      </w:tr>
    </w:tbl>
    <w:p>
      <w:pPr>
        <w:spacing w:after="0" w:line="1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KNOW ALL BY THESE PRESENTS, that each person whose signature appears below constitutes and appoints Eric Olson and Kevin Trask,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 promulgated under the Securities Act,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or her substitute or substitutes, may lawfully do or cause to be done by virtue hereof.</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40" w:type="dxa"/>
            <w:vAlign w:val="bottom"/>
          </w:tcPr>
          <w:p>
            <w:pPr>
              <w:spacing w:after="0"/>
              <w:rPr>
                <w:sz w:val="16"/>
                <w:szCs w:val="16"/>
                <w:color w:val="auto"/>
              </w:rPr>
            </w:pPr>
          </w:p>
        </w:tc>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30"/>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Eric Olson</w:t>
            </w:r>
          </w:p>
        </w:tc>
        <w:tc>
          <w:tcPr>
            <w:tcW w:w="24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 and Chairman of the Board of Directors</w:t>
            </w: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June 24, 2026</w:t>
            </w:r>
          </w:p>
        </w:tc>
      </w:tr>
      <w:tr>
        <w:trPr>
          <w:trHeight w:val="175"/>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Eric Olson</w:t>
            </w:r>
          </w:p>
        </w:tc>
        <w:tc>
          <w:tcPr>
            <w:tcW w:w="240" w:type="dxa"/>
            <w:vAlign w:val="bottom"/>
          </w:tcPr>
          <w:p>
            <w:pPr>
              <w:spacing w:after="0"/>
              <w:rPr>
                <w:sz w:val="15"/>
                <w:szCs w:val="15"/>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tc>
        <w:tc>
          <w:tcPr>
            <w:tcW w:w="2360" w:type="dxa"/>
            <w:vAlign w:val="bottom"/>
          </w:tcPr>
          <w:p>
            <w:pPr>
              <w:spacing w:after="0"/>
              <w:rPr>
                <w:sz w:val="15"/>
                <w:szCs w:val="15"/>
                <w:color w:val="auto"/>
              </w:rPr>
            </w:pPr>
          </w:p>
        </w:tc>
      </w:tr>
      <w:tr>
        <w:trPr>
          <w:trHeight w:val="325"/>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Kevin Trask</w:t>
            </w:r>
          </w:p>
        </w:tc>
        <w:tc>
          <w:tcPr>
            <w:tcW w:w="24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Financial Officer</w:t>
            </w: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June 24, 2026</w:t>
            </w:r>
          </w:p>
        </w:tc>
      </w:tr>
      <w:tr>
        <w:trPr>
          <w:trHeight w:val="175"/>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Kevin Trask</w:t>
            </w:r>
          </w:p>
        </w:tc>
        <w:tc>
          <w:tcPr>
            <w:tcW w:w="240" w:type="dxa"/>
            <w:vAlign w:val="bottom"/>
          </w:tcPr>
          <w:p>
            <w:pPr>
              <w:spacing w:after="0"/>
              <w:rPr>
                <w:sz w:val="15"/>
                <w:szCs w:val="15"/>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 and Principal Accounting Officer</w:t>
            </w:r>
            <w:r>
              <w:rPr>
                <w:rFonts w:ascii="Times New Roman" w:cs="Times New Roman" w:eastAsia="Times New Roman" w:hAnsi="Times New Roman"/>
                <w:sz w:val="14"/>
                <w:szCs w:val="14"/>
                <w:color w:val="auto"/>
              </w:rPr>
              <w:t>)</w:t>
            </w:r>
          </w:p>
        </w:tc>
        <w:tc>
          <w:tcPr>
            <w:tcW w:w="2360" w:type="dxa"/>
            <w:vAlign w:val="bottom"/>
          </w:tcPr>
          <w:p>
            <w:pPr>
              <w:spacing w:after="0"/>
              <w:rPr>
                <w:sz w:val="15"/>
                <w:szCs w:val="15"/>
                <w:color w:val="auto"/>
              </w:rPr>
            </w:pPr>
          </w:p>
        </w:tc>
      </w:tr>
      <w:tr>
        <w:trPr>
          <w:trHeight w:val="325"/>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Jay M. Moyes</w:t>
            </w:r>
          </w:p>
        </w:tc>
        <w:tc>
          <w:tcPr>
            <w:tcW w:w="24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June 24, 2026</w:t>
            </w:r>
          </w:p>
        </w:tc>
      </w:tr>
      <w:tr>
        <w:trPr>
          <w:trHeight w:val="175"/>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Jay M. Moyes</w:t>
            </w:r>
          </w:p>
        </w:tc>
        <w:tc>
          <w:tcPr>
            <w:tcW w:w="24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25"/>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Robert D. Mitchell</w:t>
            </w:r>
          </w:p>
        </w:tc>
        <w:tc>
          <w:tcPr>
            <w:tcW w:w="24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June 24, 2026</w:t>
            </w:r>
          </w:p>
        </w:tc>
      </w:tr>
      <w:tr>
        <w:trPr>
          <w:trHeight w:val="175"/>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Robert D. Mitchell</w:t>
            </w:r>
          </w:p>
        </w:tc>
        <w:tc>
          <w:tcPr>
            <w:tcW w:w="24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25"/>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Gregg Honigblum</w:t>
            </w:r>
          </w:p>
        </w:tc>
        <w:tc>
          <w:tcPr>
            <w:tcW w:w="24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June 24, 2026</w:t>
            </w:r>
          </w:p>
        </w:tc>
      </w:tr>
      <w:tr>
        <w:trPr>
          <w:trHeight w:val="175"/>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Gregg Honigblum</w:t>
            </w:r>
          </w:p>
        </w:tc>
        <w:tc>
          <w:tcPr>
            <w:tcW w:w="24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25"/>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Chris Lyons</w:t>
            </w:r>
          </w:p>
        </w:tc>
        <w:tc>
          <w:tcPr>
            <w:tcW w:w="24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June 24, 2026</w:t>
            </w:r>
          </w:p>
        </w:tc>
      </w:tr>
      <w:tr>
        <w:trPr>
          <w:trHeight w:val="175"/>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Chris Lyons</w:t>
            </w:r>
          </w:p>
        </w:tc>
        <w:tc>
          <w:tcPr>
            <w:tcW w:w="24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25"/>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Mark Anderson</w:t>
            </w:r>
          </w:p>
        </w:tc>
        <w:tc>
          <w:tcPr>
            <w:tcW w:w="24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June 24, 2026</w:t>
            </w:r>
          </w:p>
        </w:tc>
      </w:tr>
      <w:tr>
        <w:trPr>
          <w:trHeight w:val="175"/>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Mark Anderson</w:t>
            </w:r>
          </w:p>
        </w:tc>
        <w:tc>
          <w:tcPr>
            <w:tcW w:w="24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25"/>
        </w:trPr>
        <w:tc>
          <w:tcPr>
            <w:tcW w:w="2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gridSpan w:val="2"/>
          </w:tcPr>
          <w:p>
            <w:pPr>
              <w:ind w:left="2920"/>
              <w:spacing w:after="0"/>
              <w:rPr>
                <w:sz w:val="20"/>
                <w:szCs w:val="20"/>
                <w:color w:val="auto"/>
              </w:rPr>
            </w:pPr>
            <w:r>
              <w:rPr>
                <w:rFonts w:ascii="Times New Roman" w:cs="Times New Roman" w:eastAsia="Times New Roman" w:hAnsi="Times New Roman"/>
                <w:sz w:val="14"/>
                <w:szCs w:val="14"/>
                <w:color w:val="auto"/>
              </w:rPr>
              <w:t>II-6</w:t>
            </w:r>
          </w:p>
        </w:tc>
        <w:tc>
          <w:tcPr>
            <w:tcW w:w="2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68" w:right="319" w:bottom="1440" w:gutter="0" w:footer="0" w:header="0"/>
        </w:sectPr>
      </w:pPr>
    </w:p>
    <w:bookmarkStart w:id="37" w:name="page38"/>
    <w:bookmarkEnd w:id="37"/>
    <w:p>
      <w:pPr>
        <w:ind w:left="10560"/>
        <w:spacing w:after="0"/>
        <w:rPr>
          <w:sz w:val="20"/>
          <w:szCs w:val="20"/>
          <w:color w:val="auto"/>
        </w:rPr>
      </w:pPr>
      <w:r>
        <w:rPr>
          <w:rFonts w:ascii="Times New Roman" w:cs="Times New Roman" w:eastAsia="Times New Roman" w:hAnsi="Times New Roman"/>
          <w:sz w:val="13"/>
          <w:szCs w:val="13"/>
          <w:b w:val="1"/>
          <w:bCs w:val="1"/>
          <w:color w:val="auto"/>
        </w:rPr>
        <w:t>Exhibit 4.28</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PURCHASE WARRANT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SINTX TECHNOLOGIES, INC.</w:t>
      </w:r>
    </w:p>
    <w:p>
      <w:pPr>
        <w:sectPr>
          <w:pgSz w:w="11900" w:h="16838" w:orient="portrait"/>
          <w:cols w:equalWidth="0" w:num="1">
            <w:col w:w="11280"/>
          </w:cols>
          <w:pgMar w:left="300" w:top="292" w:right="31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Warrant Shares: _______</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Initial Exercise Date: June 18, 2025</w:t>
      </w:r>
    </w:p>
    <w:p>
      <w:pPr>
        <w:spacing w:after="0" w:line="178" w:lineRule="exact"/>
        <w:rPr>
          <w:sz w:val="20"/>
          <w:szCs w:val="20"/>
          <w:color w:val="auto"/>
        </w:rPr>
      </w:pPr>
    </w:p>
    <w:p>
      <w:pPr>
        <w:sectPr>
          <w:pgSz w:w="11900" w:h="16838" w:orient="portrait"/>
          <w:cols w:equalWidth="0" w:num="2">
            <w:col w:w="7300" w:space="720"/>
            <w:col w:w="3260"/>
          </w:cols>
          <w:pgMar w:left="300" w:top="292" w:right="31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4"/>
          <w:szCs w:val="14"/>
          <w:color w:val="auto"/>
        </w:rPr>
        <w:t>THIS COMMON STOCK PURCHASE WARRANT (the “</w:t>
      </w:r>
      <w:r>
        <w:rPr>
          <w:rFonts w:ascii="Times New Roman" w:cs="Times New Roman" w:eastAsia="Times New Roman" w:hAnsi="Times New Roman"/>
          <w:sz w:val="14"/>
          <w:szCs w:val="14"/>
          <w:u w:val="single" w:color="auto"/>
          <w:color w:val="auto"/>
        </w:rPr>
        <w:t>Warrant</w:t>
      </w:r>
      <w:r>
        <w:rPr>
          <w:rFonts w:ascii="Times New Roman" w:cs="Times New Roman" w:eastAsia="Times New Roman" w:hAnsi="Times New Roman"/>
          <w:sz w:val="14"/>
          <w:szCs w:val="14"/>
          <w:color w:val="auto"/>
        </w:rPr>
        <w:t>”) certifies that, for value received, _____________ or its assigns (the “</w:t>
      </w:r>
      <w:r>
        <w:rPr>
          <w:rFonts w:ascii="Times New Roman" w:cs="Times New Roman" w:eastAsia="Times New Roman" w:hAnsi="Times New Roman"/>
          <w:sz w:val="14"/>
          <w:szCs w:val="14"/>
          <w:u w:val="single" w:color="auto"/>
          <w:color w:val="auto"/>
        </w:rPr>
        <w:t>Holder</w:t>
      </w:r>
      <w:r>
        <w:rPr>
          <w:rFonts w:ascii="Times New Roman" w:cs="Times New Roman" w:eastAsia="Times New Roman" w:hAnsi="Times New Roman"/>
          <w:sz w:val="14"/>
          <w:szCs w:val="14"/>
          <w:color w:val="auto"/>
        </w:rPr>
        <w:t>”) is entitled, upon the terms and</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subject to the limitations on exercise and the conditions hereinafter set forth, at any time on or after the date hereof (the “</w:t>
      </w:r>
      <w:r>
        <w:rPr>
          <w:rFonts w:ascii="Times New Roman" w:cs="Times New Roman" w:eastAsia="Times New Roman" w:hAnsi="Times New Roman"/>
          <w:sz w:val="14"/>
          <w:szCs w:val="14"/>
          <w:u w:val="single" w:color="auto"/>
          <w:color w:val="auto"/>
        </w:rPr>
        <w:t>Initial Exercise Date</w:t>
      </w:r>
      <w:r>
        <w:rPr>
          <w:rFonts w:ascii="Times New Roman" w:cs="Times New Roman" w:eastAsia="Times New Roman" w:hAnsi="Times New Roman"/>
          <w:sz w:val="14"/>
          <w:szCs w:val="14"/>
          <w:color w:val="auto"/>
        </w:rPr>
        <w:t>”) and on or prior to 5:00 p.m. (New York City time) on June 18, 2030 (the “</w:t>
      </w:r>
      <w:r>
        <w:rPr>
          <w:rFonts w:ascii="Times New Roman" w:cs="Times New Roman" w:eastAsia="Times New Roman" w:hAnsi="Times New Roman"/>
          <w:sz w:val="14"/>
          <w:szCs w:val="14"/>
          <w:u w:val="single" w:color="auto"/>
          <w:color w:val="auto"/>
        </w:rPr>
        <w:t>Termination Date</w:t>
      </w:r>
      <w:r>
        <w:rPr>
          <w:rFonts w:ascii="Times New Roman" w:cs="Times New Roman" w:eastAsia="Times New Roman" w:hAnsi="Times New Roman"/>
          <w:sz w:val="14"/>
          <w:szCs w:val="14"/>
          <w:color w:val="auto"/>
        </w:rPr>
        <w:t>”) but not thereafter, to subscribe for and purchase from SINTX Technologies,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up to ______ shares (as subject to adjustment hereunder, the “</w:t>
      </w:r>
      <w:r>
        <w:rPr>
          <w:rFonts w:ascii="Times New Roman" w:cs="Times New Roman" w:eastAsia="Times New Roman" w:hAnsi="Times New Roman"/>
          <w:sz w:val="14"/>
          <w:szCs w:val="14"/>
          <w:u w:val="single" w:color="auto"/>
          <w:color w:val="auto"/>
        </w:rPr>
        <w:t>Warrant Shares</w:t>
      </w:r>
      <w:r>
        <w:rPr>
          <w:rFonts w:ascii="Times New Roman" w:cs="Times New Roman" w:eastAsia="Times New Roman" w:hAnsi="Times New Roman"/>
          <w:sz w:val="14"/>
          <w:szCs w:val="14"/>
          <w:color w:val="auto"/>
        </w:rPr>
        <w:t>”) of Common Stock. The purchase price of one share of Common Stock under this Warrant shall be equal to the Exercise Price, as defined in Section 2(b).</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In addition to the terms defined elsewhere in this Warrant, the following terms have the meanings indicated in this Section 1:</w:t>
      </w:r>
    </w:p>
    <w:p>
      <w:pPr>
        <w:spacing w:after="0" w:line="17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means the board of directors of the Company.</w:t>
      </w:r>
    </w:p>
    <w:p>
      <w:pPr>
        <w:spacing w:after="0" w:line="17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type w:val="continuous"/>
        </w:sectPr>
      </w:pPr>
    </w:p>
    <w:bookmarkStart w:id="38" w:name="page39"/>
    <w:bookmarkEnd w:id="38"/>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means the United States Securities and Exchange Commission.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means the common stock of the Company, par value $0.01 per share, and any other class of securities into which such securities may hereafter be reclassified or changed.</w:t>
      </w:r>
    </w:p>
    <w:p>
      <w:pPr>
        <w:spacing w:after="0" w:line="178"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Common Stock Equivalents</w:t>
      </w:r>
      <w:r>
        <w:rPr>
          <w:rFonts w:ascii="Times New Roman" w:cs="Times New Roman" w:eastAsia="Times New Roman" w:hAnsi="Times New Roman"/>
          <w:sz w:val="14"/>
          <w:szCs w:val="14"/>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means the Securities Exchange Act of 1934, as amended, and the rules and regulations promulgated thereunder.</w:t>
      </w:r>
    </w:p>
    <w:p>
      <w:pPr>
        <w:spacing w:after="0" w:line="178"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Letter Agreement</w:t>
      </w:r>
      <w:r>
        <w:rPr>
          <w:rFonts w:ascii="Times New Roman" w:cs="Times New Roman" w:eastAsia="Times New Roman" w:hAnsi="Times New Roman"/>
          <w:sz w:val="14"/>
          <w:szCs w:val="14"/>
          <w:color w:val="auto"/>
        </w:rPr>
        <w:t>” means that certain Engagement Agreement, dated February 19, 2025, by and between SINTX Technologies, Inc. and H.C. Wainwright &amp; Co., LLC, as amended by (i) that certain Amendment to Engagement Agreement, dated August 11, 2025 and (ii) that certain Second Amendment to Engagement Agreement, dated June 18, 2026. The Engagement Agreement, as amended is referred to herein as the “Agreement.”</w:t>
      </w:r>
    </w:p>
    <w:p>
      <w:pPr>
        <w:spacing w:after="0" w:line="13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2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Rule 144</w:t>
      </w:r>
      <w:r>
        <w:rPr>
          <w:rFonts w:ascii="Times New Roman" w:cs="Times New Roman" w:eastAsia="Times New Roman" w:hAnsi="Times New Roman"/>
          <w:sz w:val="14"/>
          <w:szCs w:val="14"/>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means the Securities Act of 1933, as amended, and the rules and regulations promulgated thereunder.</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means any subsidiary of the Company and shall, where applicable, also include any direct or indirect subsidiary of the Company formed or acquired after the date hereof.</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Trading Day</w:t>
      </w:r>
      <w:r>
        <w:rPr>
          <w:rFonts w:ascii="Times New Roman" w:cs="Times New Roman" w:eastAsia="Times New Roman" w:hAnsi="Times New Roman"/>
          <w:sz w:val="14"/>
          <w:szCs w:val="14"/>
          <w:color w:val="auto"/>
        </w:rPr>
        <w:t>” means a day on which the Common Stock is traded on a Trading Market.</w:t>
      </w:r>
    </w:p>
    <w:p>
      <w:pPr>
        <w:spacing w:after="0" w:line="17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Trading Market</w:t>
      </w:r>
      <w:r>
        <w:rPr>
          <w:rFonts w:ascii="Times New Roman" w:cs="Times New Roman" w:eastAsia="Times New Roman" w:hAnsi="Times New Roman"/>
          <w:sz w:val="14"/>
          <w:szCs w:val="14"/>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39" w:name="page40"/>
    <w:bookmarkEnd w:id="39"/>
    <w:p>
      <w:pPr>
        <w:ind w:firstLine="509"/>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Transfer Agent</w:t>
      </w:r>
      <w:r>
        <w:rPr>
          <w:rFonts w:ascii="Times New Roman" w:cs="Times New Roman" w:eastAsia="Times New Roman" w:hAnsi="Times New Roman"/>
          <w:sz w:val="14"/>
          <w:szCs w:val="14"/>
          <w:color w:val="auto"/>
        </w:rPr>
        <w:t>” means Equiniti Trust Company, the current transfer agent of the Company, with a mailing address of 48 Wall Street, 22nd Floor, New York, NY 10005 and any successor transfer agent of the Company.</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Warrants</w:t>
      </w:r>
      <w:r>
        <w:rPr>
          <w:rFonts w:ascii="Times New Roman" w:cs="Times New Roman" w:eastAsia="Times New Roman" w:hAnsi="Times New Roman"/>
          <w:sz w:val="14"/>
          <w:szCs w:val="14"/>
          <w:color w:val="auto"/>
        </w:rPr>
        <w:t>” means this Warrant and other Common Stock purchase warrants issued by the Company pursuant to the Letter Agreement.</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Exercise</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left="520" w:firstLine="502"/>
        <w:spacing w:after="0" w:line="255" w:lineRule="auto"/>
        <w:tabs>
          <w:tab w:leader="none" w:pos="117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of Warrant</w:t>
      </w:r>
      <w:r>
        <w:rPr>
          <w:rFonts w:ascii="Times New Roman" w:cs="Times New Roman" w:eastAsia="Times New Roman" w:hAnsi="Times New Roman"/>
          <w:sz w:val="14"/>
          <w:szCs w:val="14"/>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4"/>
          <w:szCs w:val="14"/>
          <w:u w:val="single" w:color="auto"/>
          <w:color w:val="auto"/>
        </w:rPr>
        <w:t>Notice of Exercise</w:t>
      </w:r>
      <w:r>
        <w:rPr>
          <w:rFonts w:ascii="Times New Roman" w:cs="Times New Roman" w:eastAsia="Times New Roman" w:hAnsi="Times New Roman"/>
          <w:sz w:val="14"/>
          <w:szCs w:val="14"/>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 w:cs="Times New Roman" w:eastAsia="Times New Roman" w:hAnsi="Times New Roman"/>
          <w:sz w:val="14"/>
          <w:szCs w:val="14"/>
          <w:b w:val="1"/>
          <w:bCs w:val="1"/>
          <w:color w:val="auto"/>
        </w:rPr>
        <w:t>The Holder and any assignee, by acceptance of this Warrant, acknowledge and agree that, by reason of the provisions of this paragraph, following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purchase of a portion of the Warrant Shares hereunder, the number of Warrant Shares available for purchase hereunder at any given time may be less than the amount stated on the face hereof.</w:t>
      </w:r>
    </w:p>
    <w:p>
      <w:pPr>
        <w:spacing w:after="0" w:line="318" w:lineRule="exact"/>
        <w:rPr>
          <w:rFonts w:ascii="Times New Roman" w:cs="Times New Roman" w:eastAsia="Times New Roman" w:hAnsi="Times New Roman"/>
          <w:sz w:val="14"/>
          <w:szCs w:val="14"/>
          <w:color w:val="auto"/>
        </w:rPr>
      </w:pPr>
    </w:p>
    <w:p>
      <w:pPr>
        <w:ind w:left="1180" w:hanging="158"/>
        <w:spacing w:after="0"/>
        <w:tabs>
          <w:tab w:leader="none" w:pos="11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xml:space="preserve">. The exercise price per share of Common Stock under this Warrant shall be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2.9875, subject to adjustment hereunder (the “</w:t>
      </w: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40" w:name="page41"/>
    <w:bookmarkEnd w:id="40"/>
    <w:p>
      <w:pPr>
        <w:jc w:val="both"/>
        <w:ind w:firstLine="502"/>
        <w:spacing w:after="0" w:line="269" w:lineRule="auto"/>
        <w:tabs>
          <w:tab w:leader="none" w:pos="65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Cashless Exercise</w:t>
      </w:r>
      <w:r>
        <w:rPr>
          <w:rFonts w:ascii="Times New Roman" w:cs="Times New Roman" w:eastAsia="Times New Roman" w:hAnsi="Times New Roman"/>
          <w:sz w:val="14"/>
          <w:szCs w:val="14"/>
          <w:color w:val="auto"/>
        </w:rPr>
        <w:t>. If at any time after ninety (90) days after the Initial Exercise Date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37" w:lineRule="exact"/>
        <w:rPr>
          <w:sz w:val="20"/>
          <w:szCs w:val="20"/>
          <w:color w:val="auto"/>
        </w:rPr>
      </w:pPr>
    </w:p>
    <w:p>
      <w:pPr>
        <w:ind w:left="860" w:hanging="358"/>
        <w:spacing w:after="0" w:line="258" w:lineRule="auto"/>
        <w:tabs>
          <w:tab w:leader="none" w:pos="74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Times New Roman" w:cs="Times New Roman" w:eastAsia="Times New Roman" w:hAnsi="Times New Roman"/>
          <w:sz w:val="14"/>
          <w:szCs w:val="14"/>
          <w:u w:val="single" w:color="auto"/>
          <w:color w:val="auto"/>
        </w:rPr>
        <w:t>Bloomberg</w:t>
      </w:r>
      <w:r>
        <w:rPr>
          <w:rFonts w:ascii="Times New Roman" w:cs="Times New Roman" w:eastAsia="Times New Roman" w:hAnsi="Times New Roman"/>
          <w:sz w:val="14"/>
          <w:szCs w:val="14"/>
          <w:color w:val="auto"/>
        </w:rPr>
        <w:t>”)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spacing w:after="0" w:line="145" w:lineRule="exact"/>
        <w:rPr>
          <w:rFonts w:ascii="Times New Roman" w:cs="Times New Roman" w:eastAsia="Times New Roman" w:hAnsi="Times New Roman"/>
          <w:sz w:val="14"/>
          <w:szCs w:val="14"/>
          <w:color w:val="auto"/>
        </w:rPr>
      </w:pPr>
    </w:p>
    <w:p>
      <w:pPr>
        <w:ind w:left="720" w:hanging="218"/>
        <w:spacing w:after="0"/>
        <w:tabs>
          <w:tab w:leader="none" w:pos="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 Exercise Price of this Warrant, as adjusted hereunder; and</w:t>
      </w:r>
    </w:p>
    <w:p>
      <w:pPr>
        <w:spacing w:after="0" w:line="178" w:lineRule="exact"/>
        <w:rPr>
          <w:sz w:val="20"/>
          <w:szCs w:val="20"/>
          <w:color w:val="auto"/>
        </w:rPr>
      </w:pPr>
    </w:p>
    <w:p>
      <w:pPr>
        <w:ind w:left="860" w:hanging="358"/>
        <w:spacing w:after="0" w:line="286" w:lineRule="auto"/>
        <w:tabs>
          <w:tab w:leader="none" w:pos="74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 number of Warrant Shares that would be issuable upon exercise of this Warrant in accordance with the terms of this Warrant if such exercise were by means of a cash exercise rather than a cashless exercise.</w:t>
      </w:r>
    </w:p>
    <w:p>
      <w:pPr>
        <w:spacing w:after="0" w:line="12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spacing w:after="0" w:line="1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Bid Price</w:t>
      </w:r>
      <w:r>
        <w:rPr>
          <w:rFonts w:ascii="Times New Roman" w:cs="Times New Roman" w:eastAsia="Times New Roman" w:hAnsi="Times New Roman"/>
          <w:sz w:val="14"/>
          <w:szCs w:val="14"/>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4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14605</wp:posOffset>
            </wp:positionV>
            <wp:extent cx="716153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760"/>
          </w:cols>
          <w:pgMar w:left="820" w:top="549" w:right="319" w:bottom="1440" w:gutter="0" w:footer="0" w:header="0"/>
        </w:sectPr>
      </w:pPr>
    </w:p>
    <w:bookmarkStart w:id="41" w:name="page42"/>
    <w:bookmarkEnd w:id="41"/>
    <w:p>
      <w:pPr>
        <w:jc w:val="both"/>
        <w:ind w:left="261" w:firstLine="509"/>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VWAP</w:t>
      </w:r>
      <w:r>
        <w:rPr>
          <w:rFonts w:ascii="Times New Roman" w:cs="Times New Roman" w:eastAsia="Times New Roman" w:hAnsi="Times New Roman"/>
          <w:sz w:val="14"/>
          <w:szCs w:val="14"/>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Venture Market (“OTCQB”) or the OTCQX Best Market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47" w:lineRule="exact"/>
        <w:rPr>
          <w:sz w:val="20"/>
          <w:szCs w:val="20"/>
          <w:color w:val="auto"/>
        </w:rPr>
      </w:pPr>
    </w:p>
    <w:p>
      <w:pPr>
        <w:ind w:left="761"/>
        <w:spacing w:after="0"/>
        <w:rPr>
          <w:sz w:val="20"/>
          <w:szCs w:val="20"/>
          <w:color w:val="auto"/>
        </w:rPr>
      </w:pPr>
      <w:r>
        <w:rPr>
          <w:rFonts w:ascii="Times New Roman" w:cs="Times New Roman" w:eastAsia="Times New Roman" w:hAnsi="Times New Roman"/>
          <w:sz w:val="14"/>
          <w:szCs w:val="14"/>
          <w:color w:val="auto"/>
        </w:rPr>
        <w:t>Notwithstanding anything herein to the contrary, on the Termination Date, this Warrant shall be automatically exercised via cashless exercise pursuant to this Section 2(c).</w:t>
      </w:r>
    </w:p>
    <w:p>
      <w:pPr>
        <w:spacing w:after="0" w:line="178" w:lineRule="exact"/>
        <w:rPr>
          <w:sz w:val="20"/>
          <w:szCs w:val="20"/>
          <w:color w:val="auto"/>
        </w:rPr>
      </w:pPr>
    </w:p>
    <w:p>
      <w:pPr>
        <w:ind w:left="261" w:hanging="261"/>
        <w:spacing w:after="0"/>
        <w:tabs>
          <w:tab w:leader="none" w:pos="261"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Mechanics of Exercise</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left="1281" w:firstLine="509"/>
        <w:spacing w:after="0" w:line="254" w:lineRule="auto"/>
        <w:rPr>
          <w:sz w:val="20"/>
          <w:szCs w:val="20"/>
          <w:color w:val="auto"/>
        </w:rPr>
      </w:pPr>
      <w:r>
        <w:rPr>
          <w:rFonts w:ascii="Times New Roman" w:cs="Times New Roman" w:eastAsia="Times New Roman" w:hAnsi="Times New Roman"/>
          <w:sz w:val="14"/>
          <w:szCs w:val="14"/>
          <w:color w:val="auto"/>
        </w:rPr>
        <w:t xml:space="preserve">i. </w:t>
      </w:r>
      <w:r>
        <w:rPr>
          <w:rFonts w:ascii="Times New Roman" w:cs="Times New Roman" w:eastAsia="Times New Roman" w:hAnsi="Times New Roman"/>
          <w:sz w:val="14"/>
          <w:szCs w:val="14"/>
          <w:u w:val="single" w:color="auto"/>
          <w:color w:val="auto"/>
        </w:rPr>
        <w:t>Delivery of Warrant Shares Upon Exercise</w:t>
      </w:r>
      <w:r>
        <w:rPr>
          <w:rFonts w:ascii="Times New Roman" w:cs="Times New Roman" w:eastAsia="Times New Roman" w:hAnsi="Times New Roman"/>
          <w:sz w:val="14"/>
          <w:szCs w:val="14"/>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4"/>
          <w:szCs w:val="14"/>
          <w:u w:val="single" w:color="auto"/>
          <w:color w:val="auto"/>
        </w:rPr>
        <w:t>DWAC</w:t>
      </w:r>
      <w:r>
        <w:rPr>
          <w:rFonts w:ascii="Times New Roman" w:cs="Times New Roman" w:eastAsia="Times New Roman" w:hAnsi="Times New Roman"/>
          <w:sz w:val="14"/>
          <w:szCs w:val="14"/>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4"/>
          <w:szCs w:val="14"/>
          <w:u w:val="single" w:color="auto"/>
          <w:color w:val="auto"/>
        </w:rPr>
        <w:t>Warrant Share Delivery Date</w:t>
      </w:r>
      <w:r>
        <w:rPr>
          <w:rFonts w:ascii="Times New Roman" w:cs="Times New Roman" w:eastAsia="Times New Roman" w:hAnsi="Times New Roman"/>
          <w:sz w:val="14"/>
          <w:szCs w:val="14"/>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4"/>
          <w:szCs w:val="14"/>
          <w:u w:val="single" w:color="auto"/>
          <w:color w:val="auto"/>
        </w:rPr>
        <w:t>Standard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Settlement Period</w:t>
      </w:r>
      <w:r>
        <w:rPr>
          <w:rFonts w:ascii="Times New Roman" w:cs="Times New Roman" w:eastAsia="Times New Roman" w:hAnsi="Times New Roman"/>
          <w:sz w:val="14"/>
          <w:szCs w:val="14"/>
          <w:color w:val="auto"/>
        </w:rPr>
        <w:t>” means the standard settlement period, expressed in a number of Trading Days, on the Company’s primary Trading Market with respect to the Common Stock as in effect on the date of delivery of the Notice of Exercise.</w:t>
      </w:r>
    </w:p>
    <w:p>
      <w:pPr>
        <w:spacing w:after="0" w:line="15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14605</wp:posOffset>
            </wp:positionV>
            <wp:extent cx="716153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021"/>
          </w:cols>
          <w:pgMar w:left="559" w:top="549" w:right="319" w:bottom="1440" w:gutter="0" w:footer="0" w:header="0"/>
        </w:sectPr>
      </w:pPr>
    </w:p>
    <w:bookmarkStart w:id="42" w:name="page43"/>
    <w:bookmarkEnd w:id="42"/>
    <w:p>
      <w:pPr>
        <w:jc w:val="both"/>
        <w:ind w:left="400" w:firstLine="436"/>
        <w:spacing w:after="0" w:line="269" w:lineRule="auto"/>
        <w:tabs>
          <w:tab w:leader="none" w:pos="99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Delivery of New Warrants Upon Exercise</w:t>
      </w:r>
      <w:r>
        <w:rPr>
          <w:rFonts w:ascii="Times New Roman" w:cs="Times New Roman" w:eastAsia="Times New Roman" w:hAnsi="Times New Roman"/>
          <w:sz w:val="14"/>
          <w:szCs w:val="14"/>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37" w:lineRule="exact"/>
        <w:rPr>
          <w:rFonts w:ascii="Times New Roman" w:cs="Times New Roman" w:eastAsia="Times New Roman" w:hAnsi="Times New Roman"/>
          <w:sz w:val="14"/>
          <w:szCs w:val="14"/>
          <w:color w:val="auto"/>
        </w:rPr>
      </w:pPr>
    </w:p>
    <w:p>
      <w:pPr>
        <w:ind w:left="400" w:firstLine="500"/>
        <w:spacing w:after="0" w:line="286" w:lineRule="auto"/>
        <w:tabs>
          <w:tab w:leader="none" w:pos="1108"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Rescission Rights</w:t>
      </w:r>
      <w:r>
        <w:rPr>
          <w:rFonts w:ascii="Times New Roman" w:cs="Times New Roman" w:eastAsia="Times New Roman" w:hAnsi="Times New Roman"/>
          <w:sz w:val="14"/>
          <w:szCs w:val="14"/>
          <w:color w:val="auto"/>
        </w:rPr>
        <w:t>. If the Company fails to cause the Transfer Agent to transmit to the Holder the Warrant Shares pursuant to Section 2(d)(i) by the Warrant Share Delivery Date, then the Holder will have the right to rescind such exercise.</w:t>
      </w:r>
    </w:p>
    <w:p>
      <w:pPr>
        <w:spacing w:after="0" w:line="125" w:lineRule="exact"/>
        <w:rPr>
          <w:rFonts w:ascii="Times New Roman" w:cs="Times New Roman" w:eastAsia="Times New Roman" w:hAnsi="Times New Roman"/>
          <w:sz w:val="14"/>
          <w:szCs w:val="14"/>
          <w:color w:val="auto"/>
        </w:rPr>
      </w:pPr>
    </w:p>
    <w:p>
      <w:pPr>
        <w:jc w:val="both"/>
        <w:ind w:left="400" w:firstLine="500"/>
        <w:spacing w:after="0" w:line="255" w:lineRule="auto"/>
        <w:tabs>
          <w:tab w:leader="none" w:pos="108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Compensation for Buy-In on Failure to Timely Deliver Warrant Shares Upon Exercise</w:t>
      </w:r>
      <w:r>
        <w:rPr>
          <w:rFonts w:ascii="Times New Roman" w:cs="Times New Roman" w:eastAsia="Times New Roman" w:hAnsi="Times New Roman"/>
          <w:sz w:val="14"/>
          <w:szCs w:val="14"/>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4"/>
          <w:szCs w:val="14"/>
          <w:u w:val="single" w:color="auto"/>
          <w:color w:val="auto"/>
        </w:rPr>
        <w:t>Buy-In</w:t>
      </w:r>
      <w:r>
        <w:rPr>
          <w:rFonts w:ascii="Times New Roman" w:cs="Times New Roman" w:eastAsia="Times New Roman" w:hAnsi="Times New Roman"/>
          <w:sz w:val="14"/>
          <w:szCs w:val="14"/>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47" w:lineRule="exact"/>
        <w:rPr>
          <w:rFonts w:ascii="Times New Roman" w:cs="Times New Roman" w:eastAsia="Times New Roman" w:hAnsi="Times New Roman"/>
          <w:sz w:val="14"/>
          <w:szCs w:val="14"/>
          <w:color w:val="auto"/>
        </w:rPr>
      </w:pPr>
    </w:p>
    <w:p>
      <w:pPr>
        <w:jc w:val="both"/>
        <w:ind w:left="400" w:firstLine="500"/>
        <w:spacing w:after="0" w:line="269" w:lineRule="auto"/>
        <w:tabs>
          <w:tab w:leader="none" w:pos="1041"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Fractional Shares or Scrip</w:t>
      </w:r>
      <w:r>
        <w:rPr>
          <w:rFonts w:ascii="Times New Roman" w:cs="Times New Roman" w:eastAsia="Times New Roman" w:hAnsi="Times New Roman"/>
          <w:sz w:val="14"/>
          <w:szCs w:val="14"/>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wp:posOffset>
            </wp:positionV>
            <wp:extent cx="716153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140"/>
          </w:cols>
          <w:pgMar w:left="1440" w:top="549" w:right="319" w:bottom="1440" w:gutter="0" w:footer="0" w:header="0"/>
        </w:sectPr>
      </w:pPr>
    </w:p>
    <w:bookmarkStart w:id="43" w:name="page44"/>
    <w:bookmarkEnd w:id="43"/>
    <w:p>
      <w:pPr>
        <w:jc w:val="both"/>
        <w:ind w:left="520" w:firstLine="500"/>
        <w:spacing w:after="0" w:line="257" w:lineRule="auto"/>
        <w:tabs>
          <w:tab w:leader="none" w:pos="1209"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Charges, Taxes and Expenses</w:t>
      </w:r>
      <w:r>
        <w:rPr>
          <w:rFonts w:ascii="Times New Roman" w:cs="Times New Roman" w:eastAsia="Times New Roman" w:hAnsi="Times New Roman"/>
          <w:sz w:val="14"/>
          <w:szCs w:val="14"/>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For the avoidance of doubt, the Company shall not be responsible for any tax which may be payable in respect of any transfers involved in the registration of any book entry or certificates for Warrant Shares or Warrants in a name other than that of the Holder.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47" w:lineRule="exact"/>
        <w:rPr>
          <w:rFonts w:ascii="Times New Roman" w:cs="Times New Roman" w:eastAsia="Times New Roman" w:hAnsi="Times New Roman"/>
          <w:sz w:val="14"/>
          <w:szCs w:val="14"/>
          <w:color w:val="auto"/>
        </w:rPr>
      </w:pPr>
    </w:p>
    <w:p>
      <w:pPr>
        <w:ind w:left="520" w:firstLine="500"/>
        <w:spacing w:after="0" w:line="286" w:lineRule="auto"/>
        <w:tabs>
          <w:tab w:leader="none" w:pos="1248"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Closing of Books</w:t>
      </w:r>
      <w:r>
        <w:rPr>
          <w:rFonts w:ascii="Times New Roman" w:cs="Times New Roman" w:eastAsia="Times New Roman" w:hAnsi="Times New Roman"/>
          <w:sz w:val="14"/>
          <w:szCs w:val="14"/>
          <w:color w:val="auto"/>
        </w:rPr>
        <w:t>. The Company will not close its stockholder books or records in any manner which prevents the timely exercise of this Warrant, pursuant to the terms hereof.</w:t>
      </w:r>
    </w:p>
    <w:p>
      <w:pPr>
        <w:spacing w:after="0" w:line="125" w:lineRule="exact"/>
        <w:rPr>
          <w:rFonts w:ascii="Times New Roman" w:cs="Times New Roman" w:eastAsia="Times New Roman" w:hAnsi="Times New Roman"/>
          <w:sz w:val="14"/>
          <w:szCs w:val="14"/>
          <w:color w:val="auto"/>
        </w:rPr>
      </w:pPr>
    </w:p>
    <w:p>
      <w:pPr>
        <w:jc w:val="both"/>
        <w:ind w:firstLine="511"/>
        <w:spacing w:after="0" w:line="253" w:lineRule="auto"/>
        <w:tabs>
          <w:tab w:leader="none" w:pos="65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Holder’s Exercise Limitations</w:t>
      </w:r>
      <w:r>
        <w:rPr>
          <w:rFonts w:ascii="Times New Roman" w:cs="Times New Roman" w:eastAsia="Times New Roman" w:hAnsi="Times New Roman"/>
          <w:sz w:val="14"/>
          <w:szCs w:val="14"/>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4"/>
          <w:szCs w:val="14"/>
          <w:u w:val="single" w:color="auto"/>
          <w:color w:val="auto"/>
        </w:rPr>
        <w:t>Attribution Parties</w:t>
      </w:r>
      <w:r>
        <w:rPr>
          <w:rFonts w:ascii="Times New Roman" w:cs="Times New Roman" w:eastAsia="Times New Roman" w:hAnsi="Times New Roman"/>
          <w:sz w:val="14"/>
          <w:szCs w:val="14"/>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4"/>
          <w:szCs w:val="14"/>
          <w:u w:val="single" w:color="auto"/>
          <w:color w:val="auto"/>
        </w:rPr>
        <w:t>Beneficial Ownership Limitation</w:t>
      </w:r>
      <w:r>
        <w:rPr>
          <w:rFonts w:ascii="Times New Roman" w:cs="Times New Roman" w:eastAsia="Times New Roman" w:hAnsi="Times New Roman"/>
          <w:sz w:val="14"/>
          <w:szCs w:val="14"/>
          <w:color w:val="auto"/>
        </w:rPr>
        <w:t>” shall be 4.99%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w:t>
      </w:r>
    </w:p>
    <w:p>
      <w:pPr>
        <w:spacing w:after="0" w:line="1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4"/>
          <w:szCs w:val="14"/>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5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14605</wp:posOffset>
            </wp:positionV>
            <wp:extent cx="716153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260"/>
          </w:cols>
          <w:pgMar w:left="1320" w:top="549"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Certain Adjustments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502"/>
        <w:spacing w:after="0" w:line="256" w:lineRule="auto"/>
        <w:tabs>
          <w:tab w:leader="none" w:pos="65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Dividends and Splits</w:t>
      </w:r>
      <w:r>
        <w:rPr>
          <w:rFonts w:ascii="Times New Roman" w:cs="Times New Roman" w:eastAsia="Times New Roman" w:hAnsi="Times New Roman"/>
          <w:sz w:val="14"/>
          <w:szCs w:val="14"/>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 provided that if such record date is fixed and such dividend is not fully paid or such Distribution is not fully made on the date fixed therefor, the Exercise Price shall be recomputed accordingly as of the close of business on such record date and thereafter such Exercise Price shall be adjusted pursuant to this Section 3(a) to reflect the actual payment of such dividends or Distributions.</w:t>
      </w:r>
    </w:p>
    <w:p>
      <w:pPr>
        <w:spacing w:after="0" w:line="146" w:lineRule="exact"/>
        <w:rPr>
          <w:rFonts w:ascii="Times New Roman" w:cs="Times New Roman" w:eastAsia="Times New Roman" w:hAnsi="Times New Roman"/>
          <w:sz w:val="14"/>
          <w:szCs w:val="14"/>
          <w:color w:val="auto"/>
        </w:rPr>
      </w:pPr>
    </w:p>
    <w:p>
      <w:pPr>
        <w:jc w:val="both"/>
        <w:ind w:firstLine="502"/>
        <w:spacing w:after="0" w:line="257" w:lineRule="auto"/>
        <w:tabs>
          <w:tab w:leader="none" w:pos="66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Subsequent Rights Offerings</w:t>
      </w:r>
      <w:r>
        <w:rPr>
          <w:rFonts w:ascii="Times New Roman" w:cs="Times New Roman" w:eastAsia="Times New Roman" w:hAnsi="Times New Roman"/>
          <w:sz w:val="14"/>
          <w:szCs w:val="14"/>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4"/>
          <w:szCs w:val="14"/>
          <w:u w:val="single" w:color="auto"/>
          <w:color w:val="auto"/>
        </w:rPr>
        <w:t>Purchase Rights</w:t>
      </w:r>
      <w:r>
        <w:rPr>
          <w:rFonts w:ascii="Times New Roman" w:cs="Times New Roman" w:eastAsia="Times New Roman" w:hAnsi="Times New Roman"/>
          <w:sz w:val="14"/>
          <w:szCs w:val="14"/>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44" w:lineRule="exact"/>
        <w:rPr>
          <w:rFonts w:ascii="Times New Roman" w:cs="Times New Roman" w:eastAsia="Times New Roman" w:hAnsi="Times New Roman"/>
          <w:sz w:val="14"/>
          <w:szCs w:val="14"/>
          <w:color w:val="auto"/>
        </w:rPr>
      </w:pPr>
    </w:p>
    <w:p>
      <w:pPr>
        <w:jc w:val="both"/>
        <w:ind w:firstLine="502"/>
        <w:spacing w:after="0" w:line="256" w:lineRule="auto"/>
        <w:tabs>
          <w:tab w:leader="none" w:pos="65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 Rata Distributions</w:t>
      </w:r>
      <w:r>
        <w:rPr>
          <w:rFonts w:ascii="Times New Roman" w:cs="Times New Roman" w:eastAsia="Times New Roman" w:hAnsi="Times New Roman"/>
          <w:sz w:val="14"/>
          <w:szCs w:val="14"/>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4"/>
          <w:szCs w:val="14"/>
          <w:u w:val="single" w:color="auto"/>
          <w:color w:val="auto"/>
        </w:rPr>
        <w:t>Distribution</w:t>
      </w:r>
      <w:r>
        <w:rPr>
          <w:rFonts w:ascii="Times New Roman" w:cs="Times New Roman" w:eastAsia="Times New Roman" w:hAnsi="Times New Roman"/>
          <w:sz w:val="14"/>
          <w:szCs w:val="14"/>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in full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4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14605</wp:posOffset>
            </wp:positionV>
            <wp:extent cx="716153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760"/>
          </w:cols>
          <w:pgMar w:left="820" w:top="549" w:right="319" w:bottom="1440" w:gutter="0" w:footer="0" w:header="0"/>
        </w:sectPr>
      </w:pPr>
    </w:p>
    <w:bookmarkStart w:id="45" w:name="page46"/>
    <w:bookmarkEnd w:id="45"/>
    <w:p>
      <w:pPr>
        <w:jc w:val="both"/>
        <w:ind w:firstLine="502"/>
        <w:spacing w:after="0" w:line="253" w:lineRule="auto"/>
        <w:tabs>
          <w:tab w:leader="none" w:pos="67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Fundamental Transaction</w:t>
      </w:r>
      <w:r>
        <w:rPr>
          <w:rFonts w:ascii="Times New Roman" w:cs="Times New Roman" w:eastAsia="Times New Roman" w:hAnsi="Times New Roman"/>
          <w:sz w:val="14"/>
          <w:szCs w:val="14"/>
          <w:color w:val="auto"/>
        </w:rPr>
        <w:t>. If, at any time while this Warrant is outstanding, (i) the Company, directly or indirectly, in one or more related transactions effects any merger or consolidation of the Company with or into another Person (other than a transaction solely to change the domicile of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 w:cs="Times New Roman" w:eastAsia="Times New Roman" w:hAnsi="Times New Roman"/>
          <w:sz w:val="14"/>
          <w:szCs w:val="14"/>
          <w:u w:val="single" w:color="auto"/>
          <w:color w:val="auto"/>
        </w:rPr>
        <w:t>Fundamental Transaction</w:t>
      </w:r>
      <w:r>
        <w:rPr>
          <w:rFonts w:ascii="Times New Roman" w:cs="Times New Roman" w:eastAsia="Times New Roman" w:hAnsi="Times New Roman"/>
          <w:sz w:val="14"/>
          <w:szCs w:val="14"/>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4"/>
          <w:szCs w:val="14"/>
          <w:u w:val="single" w:color="auto"/>
          <w:color w:val="auto"/>
        </w:rPr>
        <w:t>Alternate Consideration</w:t>
      </w:r>
      <w:r>
        <w:rPr>
          <w:rFonts w:ascii="Times New Roman" w:cs="Times New Roman" w:eastAsia="Times New Roman" w:hAnsi="Times New Roman"/>
          <w:sz w:val="14"/>
          <w:szCs w:val="14"/>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4"/>
          <w:szCs w:val="14"/>
          <w:u w:val="single" w:color="auto"/>
          <w:color w:val="auto"/>
        </w:rPr>
        <w:t>Black Scholes Value</w:t>
      </w:r>
      <w:r>
        <w:rPr>
          <w:rFonts w:ascii="Times New Roman" w:cs="Times New Roman" w:eastAsia="Times New Roman" w:hAnsi="Times New Roman"/>
          <w:sz w:val="14"/>
          <w:szCs w:val="14"/>
          <w:color w:val="auto"/>
        </w:rPr>
        <w:t>” means the value of this Warrant based on the Black-Scholes Option Pricing Model obtained from the “OV” function on Bloomberg, L.P. (“</w:t>
      </w:r>
      <w:r>
        <w:rPr>
          <w:rFonts w:ascii="Times New Roman" w:cs="Times New Roman" w:eastAsia="Times New Roman" w:hAnsi="Times New Roman"/>
          <w:sz w:val="14"/>
          <w:szCs w:val="14"/>
          <w:u w:val="single" w:color="auto"/>
          <w:color w:val="auto"/>
        </w:rPr>
        <w:t>Bloomberg</w:t>
      </w:r>
      <w:r>
        <w:rPr>
          <w:rFonts w:ascii="Times New Roman" w:cs="Times New Roman" w:eastAsia="Times New Roman" w:hAnsi="Times New Roman"/>
          <w:sz w:val="14"/>
          <w:szCs w:val="14"/>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the 30 day volatility, (2) the 100 day volatility, each of clauses (1)-(2) as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3(e)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4"/>
          <w:szCs w:val="14"/>
          <w:u w:val="single" w:color="auto"/>
          <w:color w:val="auto"/>
        </w:rPr>
        <w:t>Successor Entity</w:t>
      </w:r>
      <w:r>
        <w:rPr>
          <w:rFonts w:ascii="Times New Roman" w:cs="Times New Roman" w:eastAsia="Times New Roman" w:hAnsi="Times New Roman"/>
          <w:sz w:val="14"/>
          <w:szCs w:val="14"/>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spacing w:after="0" w:line="16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14605</wp:posOffset>
            </wp:positionV>
            <wp:extent cx="716153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760"/>
          </w:cols>
          <w:pgMar w:left="820" w:top="549" w:right="319" w:bottom="1440" w:gutter="0" w:footer="0" w:header="0"/>
        </w:sectPr>
      </w:pPr>
    </w:p>
    <w:bookmarkStart w:id="46" w:name="page47"/>
    <w:bookmarkEnd w:id="46"/>
    <w:p>
      <w:pPr>
        <w:jc w:val="both"/>
        <w:ind w:firstLine="502"/>
        <w:spacing w:after="0" w:line="269" w:lineRule="auto"/>
        <w:tabs>
          <w:tab w:leader="none" w:pos="66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Calculations</w:t>
      </w:r>
      <w:r>
        <w:rPr>
          <w:rFonts w:ascii="Times New Roman" w:cs="Times New Roman" w:eastAsia="Times New Roman" w:hAnsi="Times New Roman"/>
          <w:sz w:val="14"/>
          <w:szCs w:val="14"/>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37" w:lineRule="exact"/>
        <w:rPr>
          <w:rFonts w:ascii="Times New Roman" w:cs="Times New Roman" w:eastAsia="Times New Roman" w:hAnsi="Times New Roman"/>
          <w:sz w:val="14"/>
          <w:szCs w:val="14"/>
          <w:color w:val="auto"/>
        </w:rPr>
      </w:pPr>
    </w:p>
    <w:p>
      <w:pPr>
        <w:ind w:left="640" w:hanging="138"/>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to Holder</w:t>
      </w:r>
      <w:r>
        <w:rPr>
          <w:rFonts w:ascii="Times New Roman" w:cs="Times New Roman" w:eastAsia="Times New Roman" w:hAnsi="Times New Roman"/>
          <w:sz w:val="14"/>
          <w:szCs w:val="14"/>
          <w:color w:val="auto"/>
        </w:rPr>
        <w:t>.</w:t>
      </w:r>
    </w:p>
    <w:p>
      <w:pPr>
        <w:spacing w:after="0" w:line="178" w:lineRule="exact"/>
        <w:rPr>
          <w:rFonts w:ascii="Times New Roman" w:cs="Times New Roman" w:eastAsia="Times New Roman" w:hAnsi="Times New Roman"/>
          <w:sz w:val="14"/>
          <w:szCs w:val="14"/>
          <w:color w:val="auto"/>
        </w:rPr>
      </w:pPr>
    </w:p>
    <w:p>
      <w:pPr>
        <w:jc w:val="both"/>
        <w:ind w:left="1020" w:firstLine="500"/>
        <w:spacing w:after="0" w:line="269" w:lineRule="auto"/>
        <w:tabs>
          <w:tab w:leader="none" w:pos="1639"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 to Exercise Price</w:t>
      </w:r>
      <w:r>
        <w:rPr>
          <w:rFonts w:ascii="Times New Roman" w:cs="Times New Roman" w:eastAsia="Times New Roman" w:hAnsi="Times New Roman"/>
          <w:sz w:val="14"/>
          <w:szCs w:val="14"/>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37" w:lineRule="exact"/>
        <w:rPr>
          <w:rFonts w:ascii="Times New Roman" w:cs="Times New Roman" w:eastAsia="Times New Roman" w:hAnsi="Times New Roman"/>
          <w:sz w:val="14"/>
          <w:szCs w:val="14"/>
          <w:color w:val="auto"/>
        </w:rPr>
      </w:pPr>
    </w:p>
    <w:p>
      <w:pPr>
        <w:jc w:val="both"/>
        <w:ind w:left="1020" w:firstLine="500"/>
        <w:spacing w:after="0" w:line="254" w:lineRule="auto"/>
        <w:tabs>
          <w:tab w:leader="none" w:pos="1678"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to Allow Exercise by Holder</w:t>
      </w:r>
      <w:r>
        <w:rPr>
          <w:rFonts w:ascii="Times New Roman" w:cs="Times New Roman" w:eastAsia="Times New Roman" w:hAnsi="Times New Roman"/>
          <w:sz w:val="14"/>
          <w:szCs w:val="14"/>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(other than a transaction solely to change the domicile of the Company),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to the Holder at its last email address as it shall appear upon the Warrant Register (as defined below)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Transfer of Warrant</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502"/>
        <w:spacing w:after="0" w:line="257" w:lineRule="auto"/>
        <w:tabs>
          <w:tab w:leader="none" w:pos="664"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Transferability</w:t>
      </w:r>
      <w:r>
        <w:rPr>
          <w:rFonts w:ascii="Times New Roman" w:cs="Times New Roman" w:eastAsia="Times New Roman" w:hAnsi="Times New Roman"/>
          <w:sz w:val="14"/>
          <w:szCs w:val="14"/>
          <w:color w:val="auto"/>
        </w:rPr>
        <w:t>.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4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14605</wp:posOffset>
            </wp:positionV>
            <wp:extent cx="716153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760"/>
          </w:cols>
          <w:pgMar w:left="820" w:top="549" w:right="319" w:bottom="1440" w:gutter="0" w:footer="0" w:header="0"/>
        </w:sectPr>
      </w:pPr>
    </w:p>
    <w:bookmarkStart w:id="47" w:name="page48"/>
    <w:bookmarkEnd w:id="47"/>
    <w:p>
      <w:pPr>
        <w:jc w:val="both"/>
        <w:ind w:firstLine="502"/>
        <w:spacing w:after="0" w:line="261" w:lineRule="auto"/>
        <w:tabs>
          <w:tab w:leader="none" w:pos="67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New Warrants</w:t>
      </w:r>
      <w:r>
        <w:rPr>
          <w:rFonts w:ascii="Times New Roman" w:cs="Times New Roman" w:eastAsia="Times New Roman" w:hAnsi="Times New Roman"/>
          <w:sz w:val="14"/>
          <w:szCs w:val="14"/>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w:t>
      </w:r>
    </w:p>
    <w:p>
      <w:pPr>
        <w:spacing w:after="0" w:line="142" w:lineRule="exact"/>
        <w:rPr>
          <w:rFonts w:ascii="Times New Roman" w:cs="Times New Roman" w:eastAsia="Times New Roman" w:hAnsi="Times New Roman"/>
          <w:sz w:val="14"/>
          <w:szCs w:val="14"/>
          <w:color w:val="auto"/>
        </w:rPr>
      </w:pPr>
    </w:p>
    <w:p>
      <w:pPr>
        <w:jc w:val="both"/>
        <w:ind w:firstLine="502"/>
        <w:spacing w:after="0" w:line="269" w:lineRule="auto"/>
        <w:tabs>
          <w:tab w:leader="none" w:pos="65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Warrant Register</w:t>
      </w:r>
      <w:r>
        <w:rPr>
          <w:rFonts w:ascii="Times New Roman" w:cs="Times New Roman" w:eastAsia="Times New Roman" w:hAnsi="Times New Roman"/>
          <w:sz w:val="14"/>
          <w:szCs w:val="14"/>
          <w:color w:val="auto"/>
        </w:rPr>
        <w:t>. The Company shall register this Warrant, upon records to be maintained by the Company for that purpose (the “</w:t>
      </w:r>
      <w:r>
        <w:rPr>
          <w:rFonts w:ascii="Times New Roman" w:cs="Times New Roman" w:eastAsia="Times New Roman" w:hAnsi="Times New Roman"/>
          <w:sz w:val="14"/>
          <w:szCs w:val="14"/>
          <w:u w:val="single" w:color="auto"/>
          <w:color w:val="auto"/>
        </w:rPr>
        <w:t>Warrant Register</w:t>
      </w:r>
      <w:r>
        <w:rPr>
          <w:rFonts w:ascii="Times New Roman" w:cs="Times New Roman" w:eastAsia="Times New Roman" w:hAnsi="Times New Roman"/>
          <w:sz w:val="14"/>
          <w:szCs w:val="14"/>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37" w:lineRule="exact"/>
        <w:rPr>
          <w:rFonts w:ascii="Times New Roman" w:cs="Times New Roman" w:eastAsia="Times New Roman" w:hAnsi="Times New Roman"/>
          <w:sz w:val="14"/>
          <w:szCs w:val="14"/>
          <w:color w:val="auto"/>
        </w:rPr>
      </w:pPr>
    </w:p>
    <w:p>
      <w:pPr>
        <w:jc w:val="both"/>
        <w:ind w:firstLine="502"/>
        <w:spacing w:after="0" w:line="261" w:lineRule="auto"/>
        <w:tabs>
          <w:tab w:leader="none" w:pos="66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 Restrictions</w:t>
      </w:r>
      <w:r>
        <w:rPr>
          <w:rFonts w:ascii="Times New Roman" w:cs="Times New Roman" w:eastAsia="Times New Roman" w:hAnsi="Times New Roman"/>
          <w:sz w:val="14"/>
          <w:szCs w:val="14"/>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provides to the Company an opinion of counsel, the form and substance of which opinion shall be reasonably satisfactory to the Company, to the effect that the transfer of this Warrant does not require registration under the Securities Act.</w:t>
      </w:r>
    </w:p>
    <w:p>
      <w:pPr>
        <w:spacing w:after="0" w:line="142" w:lineRule="exact"/>
        <w:rPr>
          <w:rFonts w:ascii="Times New Roman" w:cs="Times New Roman" w:eastAsia="Times New Roman" w:hAnsi="Times New Roman"/>
          <w:sz w:val="14"/>
          <w:szCs w:val="14"/>
          <w:color w:val="auto"/>
        </w:rPr>
      </w:pPr>
    </w:p>
    <w:p>
      <w:pPr>
        <w:jc w:val="both"/>
        <w:ind w:firstLine="502"/>
        <w:spacing w:after="0" w:line="269" w:lineRule="auto"/>
        <w:tabs>
          <w:tab w:leader="none" w:pos="66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 by the Holder</w:t>
      </w:r>
      <w:r>
        <w:rPr>
          <w:rFonts w:ascii="Times New Roman" w:cs="Times New Roman" w:eastAsia="Times New Roman" w:hAnsi="Times New Roman"/>
          <w:sz w:val="14"/>
          <w:szCs w:val="14"/>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502"/>
        <w:spacing w:after="0" w:line="264" w:lineRule="auto"/>
        <w:tabs>
          <w:tab w:leader="none" w:pos="65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Rights as Stockholder Until Exercise; No Settlement in Cash</w:t>
      </w:r>
      <w:r>
        <w:rPr>
          <w:rFonts w:ascii="Times New Roman" w:cs="Times New Roman" w:eastAsia="Times New Roman" w:hAnsi="Times New Roman"/>
          <w:sz w:val="14"/>
          <w:szCs w:val="14"/>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4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14605</wp:posOffset>
            </wp:positionV>
            <wp:extent cx="716153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760"/>
          </w:cols>
          <w:pgMar w:left="820" w:top="549" w:right="319" w:bottom="1440" w:gutter="0" w:footer="0" w:header="0"/>
        </w:sectPr>
      </w:pPr>
    </w:p>
    <w:bookmarkStart w:id="48" w:name="page49"/>
    <w:bookmarkEnd w:id="48"/>
    <w:p>
      <w:pPr>
        <w:jc w:val="both"/>
        <w:ind w:firstLine="502"/>
        <w:spacing w:after="0" w:line="264" w:lineRule="auto"/>
        <w:tabs>
          <w:tab w:leader="none" w:pos="68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Loss, Theft, Destruction or Mutilation of Warrant</w:t>
      </w:r>
      <w:r>
        <w:rPr>
          <w:rFonts w:ascii="Times New Roman" w:cs="Times New Roman" w:eastAsia="Times New Roman" w:hAnsi="Times New Roman"/>
          <w:sz w:val="14"/>
          <w:szCs w:val="14"/>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39" w:lineRule="exact"/>
        <w:rPr>
          <w:rFonts w:ascii="Times New Roman" w:cs="Times New Roman" w:eastAsia="Times New Roman" w:hAnsi="Times New Roman"/>
          <w:sz w:val="14"/>
          <w:szCs w:val="14"/>
          <w:color w:val="auto"/>
        </w:rPr>
      </w:pPr>
    </w:p>
    <w:p>
      <w:pPr>
        <w:ind w:firstLine="502"/>
        <w:spacing w:after="0" w:line="286" w:lineRule="auto"/>
        <w:tabs>
          <w:tab w:leader="none" w:pos="654"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Saturdays, Sundays, Holidays, etc</w:t>
      </w:r>
      <w:r>
        <w:rPr>
          <w:rFonts w:ascii="Times New Roman" w:cs="Times New Roman" w:eastAsia="Times New Roman" w:hAnsi="Times New Roman"/>
          <w:sz w:val="14"/>
          <w:szCs w:val="14"/>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5" w:lineRule="exact"/>
        <w:rPr>
          <w:rFonts w:ascii="Times New Roman" w:cs="Times New Roman" w:eastAsia="Times New Roman" w:hAnsi="Times New Roman"/>
          <w:sz w:val="14"/>
          <w:szCs w:val="14"/>
          <w:color w:val="auto"/>
        </w:rPr>
      </w:pPr>
    </w:p>
    <w:p>
      <w:pPr>
        <w:ind w:left="660" w:hanging="158"/>
        <w:spacing w:after="0"/>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Authorized Shares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left="500" w:firstLine="1018"/>
        <w:spacing w:after="0" w:line="257" w:lineRule="auto"/>
        <w:rPr>
          <w:sz w:val="20"/>
          <w:szCs w:val="20"/>
          <w:color w:val="auto"/>
        </w:rPr>
      </w:pPr>
      <w:r>
        <w:rPr>
          <w:rFonts w:ascii="Times New Roman" w:cs="Times New Roman" w:eastAsia="Times New Roman" w:hAnsi="Times New Roman"/>
          <w:sz w:val="14"/>
          <w:szCs w:val="14"/>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47" w:lineRule="exact"/>
        <w:rPr>
          <w:sz w:val="20"/>
          <w:szCs w:val="20"/>
          <w:color w:val="auto"/>
        </w:rPr>
      </w:pPr>
    </w:p>
    <w:p>
      <w:pPr>
        <w:jc w:val="both"/>
        <w:ind w:left="500" w:firstLine="509"/>
        <w:spacing w:after="0" w:line="257" w:lineRule="auto"/>
        <w:rPr>
          <w:sz w:val="20"/>
          <w:szCs w:val="20"/>
          <w:color w:val="auto"/>
        </w:rPr>
      </w:pPr>
      <w:r>
        <w:rPr>
          <w:rFonts w:ascii="Times New Roman" w:cs="Times New Roman" w:eastAsia="Times New Roman" w:hAnsi="Times New Roman"/>
          <w:sz w:val="14"/>
          <w:szCs w:val="14"/>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4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14605</wp:posOffset>
            </wp:positionV>
            <wp:extent cx="716153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760"/>
          </w:cols>
          <w:pgMar w:left="820" w:top="549" w:right="319" w:bottom="1440" w:gutter="0" w:footer="0" w:header="0"/>
        </w:sectPr>
      </w:pPr>
    </w:p>
    <w:bookmarkStart w:id="49" w:name="page50"/>
    <w:bookmarkEnd w:id="49"/>
    <w:p>
      <w:pPr>
        <w:ind w:left="500" w:firstLine="509"/>
        <w:spacing w:after="0" w:line="286" w:lineRule="auto"/>
        <w:rPr>
          <w:sz w:val="20"/>
          <w:szCs w:val="20"/>
          <w:color w:val="auto"/>
        </w:rPr>
      </w:pPr>
      <w:r>
        <w:rPr>
          <w:rFonts w:ascii="Times New Roman" w:cs="Times New Roman" w:eastAsia="Times New Roman" w:hAnsi="Times New Roman"/>
          <w:sz w:val="14"/>
          <w:szCs w:val="14"/>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25" w:lineRule="exact"/>
        <w:rPr>
          <w:sz w:val="20"/>
          <w:szCs w:val="20"/>
          <w:color w:val="auto"/>
        </w:rPr>
      </w:pPr>
    </w:p>
    <w:p>
      <w:pPr>
        <w:jc w:val="both"/>
        <w:ind w:firstLine="502"/>
        <w:spacing w:after="0" w:line="255" w:lineRule="auto"/>
        <w:tabs>
          <w:tab w:leader="none" w:pos="675"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52" w:lineRule="exact"/>
        <w:rPr>
          <w:rFonts w:ascii="Times New Roman" w:cs="Times New Roman" w:eastAsia="Times New Roman" w:hAnsi="Times New Roman"/>
          <w:sz w:val="14"/>
          <w:szCs w:val="14"/>
          <w:color w:val="auto"/>
        </w:rPr>
      </w:pPr>
    </w:p>
    <w:p>
      <w:pPr>
        <w:ind w:firstLine="502"/>
        <w:spacing w:after="0" w:line="286" w:lineRule="auto"/>
        <w:tabs>
          <w:tab w:leader="none" w:pos="63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Restrictions</w:t>
      </w:r>
      <w:r>
        <w:rPr>
          <w:rFonts w:ascii="Times New Roman" w:cs="Times New Roman" w:eastAsia="Times New Roman" w:hAnsi="Times New Roman"/>
          <w:sz w:val="14"/>
          <w:szCs w:val="14"/>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25" w:lineRule="exact"/>
        <w:rPr>
          <w:rFonts w:ascii="Times New Roman" w:cs="Times New Roman" w:eastAsia="Times New Roman" w:hAnsi="Times New Roman"/>
          <w:sz w:val="14"/>
          <w:szCs w:val="14"/>
          <w:color w:val="auto"/>
        </w:rPr>
      </w:pPr>
    </w:p>
    <w:p>
      <w:pPr>
        <w:jc w:val="both"/>
        <w:ind w:firstLine="502"/>
        <w:spacing w:after="0" w:line="261" w:lineRule="auto"/>
        <w:tabs>
          <w:tab w:leader="none" w:pos="66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Nonwaiver and Expenses</w:t>
      </w:r>
      <w:r>
        <w:rPr>
          <w:rFonts w:ascii="Times New Roman" w:cs="Times New Roman" w:eastAsia="Times New Roman" w:hAnsi="Times New Roman"/>
          <w:sz w:val="14"/>
          <w:szCs w:val="14"/>
          <w:color w:val="auto"/>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Without limiting any other provision of this Warrant or the Letter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4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14605</wp:posOffset>
            </wp:positionV>
            <wp:extent cx="716153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760"/>
          </w:cols>
          <w:pgMar w:left="820" w:top="549" w:right="319" w:bottom="1440" w:gutter="0" w:footer="0" w:header="0"/>
        </w:sectPr>
      </w:pPr>
    </w:p>
    <w:bookmarkStart w:id="50" w:name="page51"/>
    <w:bookmarkEnd w:id="50"/>
    <w:p>
      <w:pPr>
        <w:jc w:val="both"/>
        <w:ind w:firstLine="502"/>
        <w:spacing w:after="0" w:line="257" w:lineRule="auto"/>
        <w:tabs>
          <w:tab w:leader="none" w:pos="67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1885 West 2100 South, Attention: Office of General Counsel, email address: legalnotices@sintx.com,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44" w:lineRule="exact"/>
        <w:rPr>
          <w:rFonts w:ascii="Times New Roman" w:cs="Times New Roman" w:eastAsia="Times New Roman" w:hAnsi="Times New Roman"/>
          <w:sz w:val="14"/>
          <w:szCs w:val="14"/>
          <w:color w:val="auto"/>
        </w:rPr>
      </w:pPr>
    </w:p>
    <w:p>
      <w:pPr>
        <w:jc w:val="both"/>
        <w:ind w:firstLine="502"/>
        <w:spacing w:after="0" w:line="269" w:lineRule="auto"/>
        <w:tabs>
          <w:tab w:leader="none" w:pos="63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Limitation of Liability</w:t>
      </w:r>
      <w:r>
        <w:rPr>
          <w:rFonts w:ascii="Times New Roman" w:cs="Times New Roman" w:eastAsia="Times New Roman" w:hAnsi="Times New Roman"/>
          <w:sz w:val="14"/>
          <w:szCs w:val="14"/>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37" w:lineRule="exact"/>
        <w:rPr>
          <w:rFonts w:ascii="Times New Roman" w:cs="Times New Roman" w:eastAsia="Times New Roman" w:hAnsi="Times New Roman"/>
          <w:sz w:val="14"/>
          <w:szCs w:val="14"/>
          <w:color w:val="auto"/>
        </w:rPr>
      </w:pPr>
    </w:p>
    <w:p>
      <w:pPr>
        <w:jc w:val="both"/>
        <w:ind w:firstLine="502"/>
        <w:spacing w:after="0" w:line="269" w:lineRule="auto"/>
        <w:tabs>
          <w:tab w:leader="none" w:pos="63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Remedies</w:t>
      </w:r>
      <w:r>
        <w:rPr>
          <w:rFonts w:ascii="Times New Roman" w:cs="Times New Roman" w:eastAsia="Times New Roman" w:hAnsi="Times New Roman"/>
          <w:sz w:val="14"/>
          <w:szCs w:val="14"/>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37" w:lineRule="exact"/>
        <w:rPr>
          <w:rFonts w:ascii="Times New Roman" w:cs="Times New Roman" w:eastAsia="Times New Roman" w:hAnsi="Times New Roman"/>
          <w:sz w:val="14"/>
          <w:szCs w:val="14"/>
          <w:color w:val="auto"/>
        </w:rPr>
      </w:pPr>
    </w:p>
    <w:p>
      <w:pPr>
        <w:jc w:val="both"/>
        <w:ind w:firstLine="502"/>
        <w:spacing w:after="0" w:line="269" w:lineRule="auto"/>
        <w:tabs>
          <w:tab w:leader="none" w:pos="66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Subject to applicable securities laws, and the restrictions on transfer described herein,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37" w:lineRule="exact"/>
        <w:rPr>
          <w:rFonts w:ascii="Times New Roman" w:cs="Times New Roman" w:eastAsia="Times New Roman" w:hAnsi="Times New Roman"/>
          <w:sz w:val="14"/>
          <w:szCs w:val="14"/>
          <w:color w:val="auto"/>
        </w:rPr>
      </w:pPr>
    </w:p>
    <w:p>
      <w:pPr>
        <w:ind w:left="620" w:hanging="118"/>
        <w:spacing w:after="0"/>
        <w:tabs>
          <w:tab w:leader="none" w:pos="6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This Warrant may be modified or amended or the provisions hereof waived with the written consent of the Company and the Holder.</w:t>
      </w:r>
    </w:p>
    <w:p>
      <w:pPr>
        <w:spacing w:after="0" w:line="178" w:lineRule="exact"/>
        <w:rPr>
          <w:rFonts w:ascii="Times New Roman" w:cs="Times New Roman" w:eastAsia="Times New Roman" w:hAnsi="Times New Roman"/>
          <w:sz w:val="14"/>
          <w:szCs w:val="14"/>
          <w:color w:val="auto"/>
        </w:rPr>
      </w:pPr>
    </w:p>
    <w:p>
      <w:pPr>
        <w:jc w:val="both"/>
        <w:ind w:firstLine="502"/>
        <w:spacing w:after="0" w:line="269" w:lineRule="auto"/>
        <w:tabs>
          <w:tab w:leader="none" w:pos="701"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Wherever possible, each provision of this Warrant shall be interpreted in such manner as to be effective and valid under applicable law rule or regulation (including those of Nasdaq), but if any provision of this Warrant shall be prohibited by or invalid under applicable law, rule or regulation, such provision shall be ineffective to the extent of such prohibition or invalidity, without invalidating the remainder of such provisions or the remaining provisions of this Warrant.</w:t>
      </w:r>
    </w:p>
    <w:p>
      <w:pPr>
        <w:spacing w:after="0" w:line="137" w:lineRule="exact"/>
        <w:rPr>
          <w:rFonts w:ascii="Times New Roman" w:cs="Times New Roman" w:eastAsia="Times New Roman" w:hAnsi="Times New Roman"/>
          <w:sz w:val="14"/>
          <w:szCs w:val="14"/>
          <w:color w:val="auto"/>
        </w:rPr>
      </w:pPr>
    </w:p>
    <w:p>
      <w:pPr>
        <w:ind w:left="660" w:hanging="158"/>
        <w:spacing w:after="0"/>
        <w:tabs>
          <w:tab w:leader="none" w:pos="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used in this Warrant are for the convenience of reference only and shall not, for any purpose, be deemed a part of this Warrant.</w:t>
      </w:r>
    </w:p>
    <w:p>
      <w:pPr>
        <w:spacing w:after="0" w:line="1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w:t>
      </w:r>
    </w:p>
    <w:p>
      <w:pPr>
        <w:spacing w:after="0" w:line="17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i w:val="1"/>
          <w:iCs w:val="1"/>
          <w:color w:val="auto"/>
        </w:rPr>
        <w:t>(Signature Page Follows)</w:t>
      </w:r>
    </w:p>
    <w:p>
      <w:pPr>
        <w:spacing w:after="0" w:line="18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14605</wp:posOffset>
            </wp:positionV>
            <wp:extent cx="716153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760"/>
          </w:cols>
          <w:pgMar w:left="820" w:top="549" w:right="319" w:bottom="1440" w:gutter="0" w:footer="0" w:header="0"/>
        </w:sectPr>
      </w:pPr>
    </w:p>
    <w:bookmarkStart w:id="51" w:name="page52"/>
    <w:bookmarkEnd w:id="51"/>
    <w:p>
      <w:pPr>
        <w:ind w:left="1020"/>
        <w:spacing w:after="0"/>
        <w:rPr>
          <w:sz w:val="20"/>
          <w:szCs w:val="20"/>
          <w:color w:val="auto"/>
        </w:rPr>
      </w:pPr>
      <w:r>
        <w:rPr>
          <w:rFonts w:ascii="Times New Roman" w:cs="Times New Roman" w:eastAsia="Times New Roman" w:hAnsi="Times New Roman"/>
          <w:sz w:val="14"/>
          <w:szCs w:val="14"/>
          <w:color w:val="auto"/>
        </w:rPr>
        <w:t>IN WITNESS WHEREOF, the Company has caused this Warrant to be executed by its officer thereunto duly authorized as of the date first above indicated.</w:t>
      </w:r>
    </w:p>
    <w:p>
      <w:pPr>
        <w:spacing w:after="0" w:line="17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SINTX TECHNOLOGIES,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15"/>
                <w:szCs w:val="15"/>
                <w:color w:val="auto"/>
              </w:rPr>
            </w:pPr>
          </w:p>
        </w:tc>
      </w:tr>
      <w:tr>
        <w:trPr>
          <w:trHeight w:val="146"/>
        </w:trPr>
        <w:tc>
          <w:tcPr>
            <w:tcW w:w="6220" w:type="dxa"/>
            <w:vAlign w:val="bottom"/>
          </w:tcPr>
          <w:p>
            <w:pPr>
              <w:ind w:left="5660"/>
              <w:spacing w:after="0" w:line="146"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Eric Olson</w:t>
            </w:r>
          </w:p>
        </w:tc>
      </w:tr>
      <w:tr>
        <w:trPr>
          <w:trHeight w:val="184"/>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CEO and Chairman of the Board</w:t>
            </w:r>
          </w:p>
        </w:tc>
      </w:tr>
      <w:tr>
        <w:trPr>
          <w:trHeight w:val="339"/>
        </w:trPr>
        <w:tc>
          <w:tcPr>
            <w:tcW w:w="62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15</w:t>
            </w: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49" w:right="3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4"/>
          <w:szCs w:val="14"/>
          <w:b w:val="1"/>
          <w:bCs w:val="1"/>
          <w:color w:val="auto"/>
        </w:rPr>
        <w:t>NOTICE OF EXERCISE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SINTX TECHNOLOGIES, INC.</w:t>
      </w:r>
    </w:p>
    <w:p>
      <w:pPr>
        <w:spacing w:after="0" w:line="178" w:lineRule="exact"/>
        <w:rPr>
          <w:sz w:val="20"/>
          <w:szCs w:val="20"/>
          <w:color w:val="auto"/>
        </w:rPr>
      </w:pPr>
    </w:p>
    <w:p>
      <w:pPr>
        <w:ind w:firstLine="1022"/>
        <w:spacing w:after="0" w:line="286" w:lineRule="auto"/>
        <w:tabs>
          <w:tab w:leader="none" w:pos="123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25" w:lineRule="exact"/>
        <w:rPr>
          <w:rFonts w:ascii="Times New Roman" w:cs="Times New Roman" w:eastAsia="Times New Roman" w:hAnsi="Times New Roman"/>
          <w:sz w:val="14"/>
          <w:szCs w:val="14"/>
          <w:color w:val="auto"/>
        </w:rPr>
      </w:pPr>
    </w:p>
    <w:p>
      <w:pPr>
        <w:ind w:left="1220" w:hanging="198"/>
        <w:spacing w:after="0"/>
        <w:tabs>
          <w:tab w:leader="none" w:pos="1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shall take the form of (check applicable box):</w:t>
      </w:r>
    </w:p>
    <w:p>
      <w:pPr>
        <w:spacing w:after="0" w:line="17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 ] in lawful money of the United States; or</w:t>
      </w:r>
    </w:p>
    <w:p>
      <w:pPr>
        <w:spacing w:after="0" w:line="178" w:lineRule="exact"/>
        <w:rPr>
          <w:sz w:val="20"/>
          <w:szCs w:val="20"/>
          <w:color w:val="auto"/>
        </w:rPr>
      </w:pPr>
    </w:p>
    <w:p>
      <w:pPr>
        <w:ind w:left="1540" w:hanging="9"/>
        <w:spacing w:after="0" w:line="286" w:lineRule="auto"/>
        <w:tabs>
          <w:tab w:leader="none" w:pos="1663"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25" w:lineRule="exact"/>
        <w:rPr>
          <w:rFonts w:ascii="Times New Roman" w:cs="Times New Roman" w:eastAsia="Times New Roman" w:hAnsi="Times New Roman"/>
          <w:sz w:val="14"/>
          <w:szCs w:val="14"/>
          <w:color w:val="auto"/>
        </w:rPr>
      </w:pPr>
    </w:p>
    <w:p>
      <w:pPr>
        <w:ind w:left="1220" w:hanging="198"/>
        <w:spacing w:after="0"/>
        <w:tabs>
          <w:tab w:leader="none" w:pos="1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Please issue said Warrant Shares in the name of the undersigned or in such other name as is specified below:</w:t>
      </w:r>
    </w:p>
    <w:p>
      <w:pPr>
        <w:spacing w:after="0" w:line="17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Warrant Shares shall be delivered to the following DWAC Account Number:</w:t>
      </w:r>
    </w:p>
    <w:p>
      <w:pPr>
        <w:spacing w:after="0" w:line="17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7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7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78" w:lineRule="exact"/>
        <w:rPr>
          <w:sz w:val="20"/>
          <w:szCs w:val="20"/>
          <w:color w:val="auto"/>
        </w:rPr>
      </w:pPr>
    </w:p>
    <w:p>
      <w:pPr>
        <w:ind w:left="1220" w:hanging="198"/>
        <w:spacing w:after="0"/>
        <w:tabs>
          <w:tab w:leader="none" w:pos="1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Accredited Investor</w:t>
      </w:r>
      <w:r>
        <w:rPr>
          <w:rFonts w:ascii="Times New Roman" w:cs="Times New Roman" w:eastAsia="Times New Roman" w:hAnsi="Times New Roman"/>
          <w:sz w:val="14"/>
          <w:szCs w:val="14"/>
          <w:color w:val="auto"/>
        </w:rPr>
        <w:t>. The undersigned is an “accredited investor” as defined in Regulation D promulgated under the Securities Act of 1933, as amended.</w:t>
      </w:r>
    </w:p>
    <w:p>
      <w:pPr>
        <w:spacing w:after="0" w:line="17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[SIGNATURE OF HOLDER]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of Investing Entity: 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of Authorized Signatory of Investing Entity</w:t>
      </w:r>
      <w:r>
        <w:rPr>
          <w:rFonts w:ascii="Times New Roman" w:cs="Times New Roman" w:eastAsia="Times New Roman" w:hAnsi="Times New Roman"/>
          <w:sz w:val="14"/>
          <w:szCs w:val="14"/>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6153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47" w:right="319" w:bottom="1440" w:gutter="0" w:footer="0" w:header="0"/>
        </w:sectPr>
      </w:pPr>
    </w:p>
    <w:bookmarkStart w:id="53" w:name="page54"/>
    <w:bookmarkEnd w:id="53"/>
    <w:p>
      <w:pPr>
        <w:ind w:left="4980"/>
        <w:spacing w:after="0"/>
        <w:rPr>
          <w:sz w:val="20"/>
          <w:szCs w:val="20"/>
          <w:color w:val="auto"/>
        </w:rPr>
      </w:pPr>
      <w:r>
        <w:rPr>
          <w:rFonts w:ascii="Times New Roman" w:cs="Times New Roman" w:eastAsia="Times New Roman" w:hAnsi="Times New Roman"/>
          <w:sz w:val="14"/>
          <w:szCs w:val="14"/>
          <w:color w:val="auto"/>
        </w:rPr>
        <w:t>ASSIGNMENT FORM</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(To assign the foregoing Warrant, execute this form and supply required information. Do not use this form to purchase shares.)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VALUE RECEIVED, the foregoing Warrant and all rights evidenced thereby are hereby assigned to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-101600</wp:posOffset>
            </wp:positionV>
            <wp:extent cx="350710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5">
                      <a:extLst>
                        <a:ext uri="{28A0092B-C50C-407E-A947-70E740481C1C}"/>
                      </a:extLst>
                    </a:blip>
                    <a:srcRect/>
                    <a:stretch>
                      <a:fillRect/>
                    </a:stretch>
                  </pic:blipFill>
                  <pic:spPr bwMode="auto">
                    <a:xfrm>
                      <a:off x="0" y="0"/>
                      <a:ext cx="3507105" cy="698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2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-101600</wp:posOffset>
            </wp:positionV>
            <wp:extent cx="350710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6">
                      <a:extLst>
                        <a:ext uri="{28A0092B-C50C-407E-A947-70E740481C1C}"/>
                      </a:extLst>
                    </a:blip>
                    <a:srcRect/>
                    <a:stretch>
                      <a:fillRect/>
                    </a:stretch>
                  </pic:blipFill>
                  <pic:spPr bwMode="auto">
                    <a:xfrm>
                      <a:off x="0" y="0"/>
                      <a:ext cx="3507105" cy="698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14605</wp:posOffset>
            </wp:positionV>
            <wp:extent cx="350710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7">
                      <a:extLst>
                        <a:ext uri="{28A0092B-C50C-407E-A947-70E740481C1C}"/>
                      </a:extLst>
                    </a:blip>
                    <a:srcRect/>
                    <a:stretch>
                      <a:fillRect/>
                    </a:stretch>
                  </pic:blipFill>
                  <pic:spPr bwMode="auto">
                    <a:xfrm>
                      <a:off x="0" y="0"/>
                      <a:ext cx="3507105" cy="698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14605</wp:posOffset>
            </wp:positionV>
            <wp:extent cx="350710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8">
                      <a:extLst>
                        <a:ext uri="{28A0092B-C50C-407E-A947-70E740481C1C}"/>
                      </a:extLst>
                    </a:blip>
                    <a:srcRect/>
                    <a:stretch>
                      <a:fillRect/>
                    </a:stretch>
                  </pic:blipFill>
                  <pic:spPr bwMode="auto">
                    <a:xfrm>
                      <a:off x="0" y="0"/>
                      <a:ext cx="3507105" cy="698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_______________ __, ______</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Holder’s Signature: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716153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159"/>
          </w:cols>
          <w:pgMar w:left="300" w:top="549" w:right="1440"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1682750" cy="424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0">
                      <a:extLst>
                        <a:ext uri="{28A0092B-C50C-407E-A947-70E740481C1C}"/>
                      </a:extLst>
                    </a:blip>
                    <a:srcRect/>
                    <a:stretch>
                      <a:fillRect/>
                    </a:stretch>
                  </pic:blipFill>
                  <pic:spPr bwMode="auto">
                    <a:xfrm>
                      <a:off x="0" y="0"/>
                      <a:ext cx="1682750" cy="424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June 24,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SINTX Technologies,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1885 West 2100 South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Salt Lake City, UT 84119</w:t>
      </w:r>
    </w:p>
    <w:p>
      <w:pPr>
        <w:spacing w:after="0" w:line="16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4"/>
          <w:szCs w:val="14"/>
          <w:u w:val="single" w:color="auto"/>
          <w:color w:val="auto"/>
        </w:rPr>
        <w:t>Registration Statement on Form S-3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have acted as counsel to SINTX Technologies, Inc., a Delaware corporation (the “Company”), in connection with a registration statement on Form S-3 (“Registration Statement”) filed by the Company with the Securities and Exchange Commission (the “Commission”) under the Securities Act of 1933, as amended (the “Securities Act”). The Registration Statement relates to the offer for resale of an aggregate of 5,819,323 shares of our common stock, par value $0.01 per share (the “Common Stock”), issued by us in connection with a private placement of (x) 1,882,846 units consisting of (i) 1,882,846 shares of our common stock (the “Common Shares”); (ii) 1,882,846 shares (the “Class A Warrant Shares”) issuable upon the exercise of Class A common stock purchase warrant to purchase shares of our common stock held by selling stockholders (the “Class A Warrants”), and (iii) 1,882,846 shares (the “Class B Warrant Shares”) issuable upon the exercise of Class B common stock purchase warrant to purchase shares of our common stock held by selling stockholders (the “Class B Warrants”), (y) 78,212 shares of common stock issued to certain financial advisor (or its designees) as compensation for financial advisory and referral services rendered in connection with the Private Placement (as defined below) (the “Compensation Shares”), and (z) 92,573 shares (the “Placement Agent Warrant Shares” and together with the Class A Warrant Shares and the Class B Warrant Shares, the “Warrant Shares”) issuable upon the exercise of placement agent common stock purchase warrants to purchase shares of our common stock held by certain of the selling stockholders (the “Placement Agent Warrants” and together with the Class A Warrants and Class B Warrants, the “Warrants”). The Common Shares, Compensation Shares and Warrants were issued in a private placement (the “Private Placement”) pursuant to a securities purchase agreement dated June 2, 2026.</w:t>
      </w:r>
    </w:p>
    <w:p>
      <w:pPr>
        <w:spacing w:after="0" w:line="3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examined such documents and have reviewed such questions of law as we have considered necessary or appropriate for the purposes of our opinions set forth below. In rendering our opinions set forth below,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As to questions of fact material to our opinions, we have relied upon certificates or comparable documents of officers and other representatives of the Company and of public officials.</w:t>
      </w:r>
    </w:p>
    <w:p>
      <w:pPr>
        <w:spacing w:after="0" w:line="1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With respect to the Warrant Shares, we express no opinion to the extent that future issuances of securities of the Company, adjustments to outstanding securities of the Company or other matters cause the Warrants to be exercisable for more shares of Common Stock than the number available for issuance by the Company, or that the consideration paid upon exercise of the Warrants is below the par value per share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153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color w:val="auto"/>
        </w:rPr>
        <w:t>Based on the foregoing, we are of the opinion that:</w:t>
      </w:r>
    </w:p>
    <w:p>
      <w:pPr>
        <w:spacing w:after="0" w:line="178" w:lineRule="exact"/>
        <w:rPr>
          <w:sz w:val="20"/>
          <w:szCs w:val="20"/>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are validly issued, fully paid and nonassessable.</w:t>
      </w:r>
    </w:p>
    <w:p>
      <w:pPr>
        <w:spacing w:after="0" w:line="178" w:lineRule="exact"/>
        <w:rPr>
          <w:rFonts w:ascii="Times New Roman" w:cs="Times New Roman" w:eastAsia="Times New Roman" w:hAnsi="Times New Roman"/>
          <w:sz w:val="14"/>
          <w:szCs w:val="14"/>
          <w:color w:val="auto"/>
        </w:rPr>
      </w:pPr>
    </w:p>
    <w:p>
      <w:pPr>
        <w:ind w:left="260" w:hanging="255"/>
        <w:spacing w:after="0" w:line="286" w:lineRule="auto"/>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due exercise of the Warrants and payment to the Company of the applicable aggregate exercise price in accordance with the terms of the Warrants, the Warrant Shares issuable upon such exercise will be duly and validly issued, fully paid and non-assessable shares of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opinions expressed above are limited to the Delaware General Corporation Law.</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and to the reference to our firm under the heading “Legal Matters” in the prospectus constituting part of the Registration Statement. In giving this consent, we do not admit that we are within the category of persons whose consent is required under Section 7 of the Securities Act or the rules and regulations of the Commission thereunder.</w:t>
      </w:r>
    </w:p>
    <w:p>
      <w:pPr>
        <w:spacing w:after="0" w:line="1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Dorsey &amp; Whitney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14605</wp:posOffset>
            </wp:positionV>
            <wp:extent cx="358076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2">
                      <a:extLst>
                        <a:ext uri="{28A0092B-C50C-407E-A947-70E740481C1C}"/>
                      </a:extLst>
                    </a:blip>
                    <a:srcRect/>
                    <a:stretch>
                      <a:fillRect/>
                    </a:stretch>
                  </pic:blipFill>
                  <pic:spPr bwMode="auto">
                    <a:xfrm>
                      <a:off x="0" y="0"/>
                      <a:ext cx="3580765" cy="698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DPL/JBE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716153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570" w:right="31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SINTX Technologies,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Salt Lake City, Utah</w:t>
      </w:r>
    </w:p>
    <w:p>
      <w:pPr>
        <w:spacing w:after="0" w:line="1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of our report dated March 20, 2026, relating to the consolidated financial statements of SINTX Technologies, Inc., and subsidiaries (collectively, the Company), as of December 31, 2025 and 2024 and for each of the years then ended, appearing in the Annual Report on Form 10-K of the Company for the year ended December 31,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consent to the reference to us under the caption “Experts” in the Prospectus.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Tanner LLP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Lehi, Utah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6153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57" w:name="page58"/>
    <w:bookmarkEnd w:id="57"/>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Sintx Technologies, Inc.</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55"/>
              <w:spacing w:after="0" w:line="191"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ind w:left="160"/>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0"/>
                <w:szCs w:val="10"/>
                <w:color w:val="auto"/>
              </w:rPr>
            </w:pPr>
          </w:p>
        </w:tc>
        <w:tc>
          <w:tcPr>
            <w:tcW w:w="720" w:type="dxa"/>
            <w:vAlign w:val="bottom"/>
            <w:shd w:val="clear" w:color="auto" w:fill="9ADAF6"/>
          </w:tcPr>
          <w:p>
            <w:pPr>
              <w:ind w:left="140"/>
              <w:spacing w:after="0" w:line="117" w:lineRule="exact"/>
              <w:rPr>
                <w:sz w:val="20"/>
                <w:szCs w:val="20"/>
                <w:color w:val="auto"/>
              </w:rPr>
            </w:pPr>
            <w:r>
              <w:rPr>
                <w:rFonts w:ascii="Arial" w:cs="Arial" w:eastAsia="Arial" w:hAnsi="Arial"/>
                <w:sz w:val="13"/>
                <w:szCs w:val="13"/>
                <w:b w:val="1"/>
                <w:bCs w:val="1"/>
                <w:color w:val="auto"/>
              </w:rPr>
              <w:t>Class</w:t>
            </w: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or Carry</w:t>
            </w:r>
          </w:p>
        </w:tc>
        <w:tc>
          <w:tcPr>
            <w:tcW w:w="20" w:type="dxa"/>
            <w:vAlign w:val="bottom"/>
          </w:tcPr>
          <w:p>
            <w:pPr>
              <w:spacing w:after="0"/>
              <w:rPr>
                <w:sz w:val="10"/>
                <w:szCs w:val="10"/>
                <w:color w:val="auto"/>
              </w:rPr>
            </w:pPr>
          </w:p>
        </w:tc>
        <w:tc>
          <w:tcPr>
            <w:tcW w:w="900" w:type="dxa"/>
            <w:vAlign w:val="bottom"/>
            <w:vMerge w:val="restart"/>
            <w:shd w:val="clear" w:color="auto" w:fill="9ADAF6"/>
          </w:tcPr>
          <w:p>
            <w:pPr>
              <w:jc w:val="right"/>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0"/>
                <w:szCs w:val="10"/>
                <w:color w:val="auto"/>
              </w:rPr>
            </w:pPr>
          </w:p>
        </w:tc>
        <w:tc>
          <w:tcPr>
            <w:tcW w:w="8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Offering</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0"/>
                <w:szCs w:val="10"/>
                <w:color w:val="auto"/>
              </w:rPr>
            </w:pPr>
          </w:p>
        </w:tc>
        <w:tc>
          <w:tcPr>
            <w:tcW w:w="8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Registration</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0"/>
                <w:szCs w:val="10"/>
                <w:color w:val="auto"/>
              </w:rPr>
            </w:pPr>
          </w:p>
        </w:tc>
        <w:tc>
          <w:tcPr>
            <w:tcW w:w="7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Initial</w:t>
            </w:r>
          </w:p>
        </w:tc>
        <w:tc>
          <w:tcPr>
            <w:tcW w:w="20" w:type="dxa"/>
            <w:vAlign w:val="bottom"/>
          </w:tcPr>
          <w:p>
            <w:pPr>
              <w:spacing w:after="0"/>
              <w:rPr>
                <w:sz w:val="10"/>
                <w:szCs w:val="10"/>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180"/>
              <w:spacing w:after="0" w:line="170"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4"/>
                <w:szCs w:val="14"/>
                <w:color w:val="auto"/>
              </w:rPr>
            </w:pPr>
          </w:p>
        </w:tc>
        <w:tc>
          <w:tcPr>
            <w:tcW w:w="11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0"/>
                <w:szCs w:val="10"/>
                <w:color w:val="auto"/>
              </w:rPr>
            </w:pPr>
          </w:p>
        </w:tc>
        <w:tc>
          <w:tcPr>
            <w:tcW w:w="9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0"/>
                <w:szCs w:val="10"/>
                <w:color w:val="auto"/>
              </w:rPr>
            </w:pPr>
          </w:p>
        </w:tc>
        <w:tc>
          <w:tcPr>
            <w:tcW w:w="11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Price</w:t>
            </w: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5"/>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ind w:left="22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6"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5,819,323</w:t>
            </w:r>
          </w:p>
        </w:tc>
        <w:tc>
          <w:tcPr>
            <w:tcW w:w="20" w:type="dxa"/>
            <w:vAlign w:val="bottom"/>
          </w:tcPr>
          <w:p>
            <w:pPr>
              <w:spacing w:after="0"/>
              <w:rPr>
                <w:sz w:val="8"/>
                <w:szCs w:val="8"/>
                <w:color w:val="auto"/>
              </w:rPr>
            </w:pPr>
          </w:p>
        </w:tc>
        <w:tc>
          <w:tcPr>
            <w:tcW w:w="800" w:type="dxa"/>
            <w:vAlign w:val="bottom"/>
            <w:vMerge w:val="restart"/>
            <w:shd w:val="clear" w:color="auto" w:fill="E7E7E2"/>
          </w:tcPr>
          <w:p>
            <w:pPr>
              <w:ind w:left="320"/>
              <w:spacing w:after="0"/>
              <w:rPr>
                <w:sz w:val="20"/>
                <w:szCs w:val="20"/>
                <w:color w:val="auto"/>
              </w:rPr>
            </w:pPr>
            <w:r>
              <w:rPr>
                <w:rFonts w:ascii="Arial" w:cs="Arial" w:eastAsia="Arial" w:hAnsi="Arial"/>
                <w:sz w:val="17"/>
                <w:szCs w:val="17"/>
                <w:color w:val="auto"/>
                <w:w w:val="97"/>
              </w:rPr>
              <w:t>$ 2.10</w:t>
            </w:r>
          </w:p>
        </w:tc>
        <w:tc>
          <w:tcPr>
            <w:tcW w:w="20" w:type="dxa"/>
            <w:vAlign w:val="bottom"/>
          </w:tcPr>
          <w:p>
            <w:pPr>
              <w:spacing w:after="0"/>
              <w:rPr>
                <w:sz w:val="8"/>
                <w:szCs w:val="8"/>
                <w:color w:val="auto"/>
              </w:rPr>
            </w:pPr>
          </w:p>
        </w:tc>
        <w:tc>
          <w:tcPr>
            <w:tcW w:w="1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$ 1,687.66</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70"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w w:val="99"/>
              </w:rPr>
              <w:t>12,220,578.30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7" w:lineRule="exact"/>
              <w:rPr>
                <w:sz w:val="20"/>
                <w:szCs w:val="20"/>
                <w:color w:val="auto"/>
              </w:rPr>
            </w:pPr>
            <w:r>
              <w:rPr>
                <w:rFonts w:ascii="Arial" w:cs="Arial" w:eastAsia="Arial" w:hAnsi="Arial"/>
                <w:sz w:val="13"/>
                <w:szCs w:val="13"/>
                <w:color w:val="auto"/>
              </w:rPr>
              <w:t>$0.01</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ind w:left="34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$ 1,687.66</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12,220,578.30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$ 1,687.66</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4" w:lineRule="exact"/>
        <w:rPr>
          <w:sz w:val="20"/>
          <w:szCs w:val="20"/>
          <w:color w:val="auto"/>
        </w:rPr>
      </w:pPr>
    </w:p>
    <w:p>
      <w:pPr>
        <w:ind w:left="220" w:right="120"/>
        <w:spacing w:after="0" w:line="242" w:lineRule="auto"/>
        <w:rPr>
          <w:sz w:val="20"/>
          <w:szCs w:val="20"/>
          <w:color w:val="auto"/>
        </w:rPr>
      </w:pPr>
      <w:r>
        <w:rPr>
          <w:rFonts w:ascii="Arial" w:cs="Arial" w:eastAsia="Arial" w:hAnsi="Arial"/>
          <w:sz w:val="17"/>
          <w:szCs w:val="17"/>
          <w:color w:val="auto"/>
        </w:rPr>
        <w:t>Shares of common stock will be offered for resale by the selling stockholders pursuant to the prospectus contained in the registration statement to which this exhibit is attached. The registration statement registers the resale of an aggregate of 5,676,747 shares of the registrant's common stock. Pursuant to Rule 416 under the Securities Act of 1933, as amended (the "Securities Act"), the shares of common stock being registered hereunder include an indeterminable number of additional shares of common stock that may be issuable as a result of stock splits, stock dividends or similar transactions.</w:t>
      </w:r>
    </w:p>
    <w:p>
      <w:pPr>
        <w:spacing w:after="0" w:line="159" w:lineRule="exact"/>
        <w:rPr>
          <w:sz w:val="20"/>
          <w:szCs w:val="20"/>
          <w:color w:val="auto"/>
        </w:rPr>
      </w:pPr>
    </w:p>
    <w:p>
      <w:pPr>
        <w:jc w:val="both"/>
        <w:ind w:left="220" w:right="240"/>
        <w:spacing w:after="0" w:line="251" w:lineRule="auto"/>
        <w:rPr>
          <w:sz w:val="20"/>
          <w:szCs w:val="20"/>
          <w:color w:val="auto"/>
        </w:rPr>
      </w:pPr>
      <w:r>
        <w:rPr>
          <w:rFonts w:ascii="Arial" w:cs="Arial" w:eastAsia="Arial" w:hAnsi="Arial"/>
          <w:sz w:val="17"/>
          <w:szCs w:val="17"/>
          <w:color w:val="auto"/>
        </w:rPr>
        <w:t>Estimated solely for the purpose of calculating the amount of the registration fee pursuant to Rule 457(c) of the Securities Act, on the basis of the high and low prices for a share of the registrant's common stock reported on June 18, 2026, which date is a date within five business days prior to the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55245</wp:posOffset>
            </wp:positionV>
            <wp:extent cx="714692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5">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7"/>
              </w:rPr>
              <w:t>Offset</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55"/>
              <w:spacing w:after="0" w:line="191"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ind w:right="20"/>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14"/>
          </w:tcPr>
          <w:p>
            <w:pPr>
              <w:jc w:val="center"/>
              <w:ind w:left="515"/>
              <w:spacing w:after="0"/>
              <w:rPr>
                <w:sz w:val="20"/>
                <w:szCs w:val="20"/>
                <w:color w:val="auto"/>
              </w:rPr>
            </w:pPr>
            <w:r>
              <w:rPr>
                <w:rFonts w:ascii="Arial" w:cs="Arial" w:eastAsia="Arial" w:hAnsi="Arial"/>
                <w:sz w:val="17"/>
                <w:szCs w:val="17"/>
                <w:b w:val="1"/>
                <w:bCs w:val="1"/>
                <w:color w:val="auto"/>
                <w:w w:val="99"/>
              </w:rPr>
              <w:t>Rules 457(b) and 0-11(a)(2)</w:t>
            </w: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gridSpan w:val="8"/>
          </w:tcPr>
          <w:p>
            <w:pPr>
              <w:jc w:val="center"/>
              <w:ind w:right="240"/>
              <w:spacing w:after="0"/>
              <w:rPr>
                <w:sz w:val="20"/>
                <w:szCs w:val="20"/>
                <w:color w:val="auto"/>
              </w:rPr>
            </w:pPr>
            <w:r>
              <w:rPr>
                <w:rFonts w:ascii="Arial" w:cs="Arial" w:eastAsia="Arial" w:hAnsi="Arial"/>
                <w:sz w:val="17"/>
                <w:szCs w:val="17"/>
                <w:b w:val="1"/>
                <w:bCs w:val="1"/>
                <w:color w:val="auto"/>
              </w:rPr>
              <w:t>Rule 457(p)</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6"/>
            <w:shd w:val="clear" w:color="auto" w:fill="9ADAF6"/>
          </w:tcPr>
          <w:p>
            <w:pPr>
              <w:jc w:val="center"/>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880" w:type="dxa"/>
            <w:vAlign w:val="bottom"/>
            <w:gridSpan w:val="5"/>
            <w:shd w:val="clear" w:color="auto" w:fill="9ADAF6"/>
          </w:tcPr>
          <w:p>
            <w:pPr>
              <w:jc w:val="center"/>
              <w:ind w:right="39"/>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1200" w:type="dxa"/>
            <w:vAlign w:val="bottom"/>
            <w:gridSpan w:val="5"/>
            <w:vMerge w:val="restart"/>
            <w:shd w:val="clear" w:color="auto" w:fill="9ADAF6"/>
          </w:tcPr>
          <w:p>
            <w:pPr>
              <w:jc w:val="center"/>
              <w:ind w:right="295"/>
              <w:spacing w:after="0" w:line="191"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39"/>
              <w:spacing w:after="0" w:line="191"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1"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40" w:type="dxa"/>
            <w:vAlign w:val="bottom"/>
            <w:gridSpan w:val="5"/>
            <w:vMerge w:val="restart"/>
            <w:shd w:val="clear" w:color="auto" w:fill="9ADAF6"/>
          </w:tcPr>
          <w:p>
            <w:pPr>
              <w:ind w:left="620"/>
              <w:spacing w:after="0" w:line="191"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12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1" w:lineRule="exact"/>
              <w:rPr>
                <w:sz w:val="20"/>
                <w:szCs w:val="20"/>
                <w:color w:val="auto"/>
              </w:rPr>
            </w:pPr>
            <w:r>
              <w:rPr>
                <w:rFonts w:ascii="Arial" w:cs="Arial" w:eastAsia="Arial" w:hAnsi="Arial"/>
                <w:sz w:val="17"/>
                <w:szCs w:val="17"/>
                <w:b w:val="1"/>
                <w:bCs w:val="1"/>
                <w:color w:val="auto"/>
              </w:rPr>
              <w:t>File Number</w:t>
            </w: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1"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6"/>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880" w:type="dxa"/>
            <w:vAlign w:val="bottom"/>
            <w:gridSpan w:val="5"/>
            <w:vMerge w:val="restart"/>
            <w:shd w:val="clear" w:color="auto" w:fill="9ADAF6"/>
          </w:tcPr>
          <w:p>
            <w:pPr>
              <w:jc w:val="center"/>
              <w:ind w:right="39"/>
              <w:spacing w:after="0" w:line="191"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6"/>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88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6"/>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39"/>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6"/>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4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lowerRoman"/>
      <w:start w:val="2"/>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lowerRoman"/>
      <w:start w:val="2"/>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2"/>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decimal"/>
      <w:start w:val="1"/>
    </w:lvl>
    <w:lvl w:ilvl="1">
      <w:lvlJc w:val="left"/>
      <w:lvlText w:val="(%2)"/>
      <w:numFmt w:val="lowerRoman"/>
      <w:start w:val="1"/>
    </w:lvl>
  </w:abstractNum>
  <w:abstractNum w:abstractNumId="12">
    <w:nsid w:val="8EDBDAB"/>
    <w:multiLevelType w:val="hybridMultilevel"/>
    <w:lvl w:ilvl="0">
      <w:lvlJc w:val="left"/>
      <w:lvlText w:val="(%1)"/>
      <w:numFmt w:val="decimal"/>
      <w:start w:val="2"/>
    </w:lvl>
    <w:lvl w:ilvl="1">
      <w:lvlJc w:val="left"/>
      <w:lvlText w:val="(%2)"/>
      <w:numFmt w:val="lowerRoman"/>
      <w:start w:val="1"/>
    </w:lvl>
  </w:abstractNum>
  <w:abstractNum w:abstractNumId="13">
    <w:nsid w:val="79838CB2"/>
    <w:multiLevelType w:val="hybridMultilevel"/>
    <w:lvl w:ilvl="0">
      <w:lvlJc w:val="left"/>
      <w:lvlText w:val="%1"/>
      <w:numFmt w:val="lowerLetter"/>
      <w:start w:val="1"/>
    </w:lvl>
    <w:lvl w:ilvl="1">
      <w:lvlJc w:val="left"/>
      <w:lvlText w:val="(%2)"/>
      <w:numFmt w:val="lowerLetter"/>
      <w:start w:val="35"/>
    </w:lvl>
  </w:abstractNum>
  <w:abstractNum w:abstractNumId="14">
    <w:nsid w:val="4353D0CD"/>
    <w:multiLevelType w:val="hybridMultilevel"/>
    <w:lvl w:ilvl="0">
      <w:lvlJc w:val="left"/>
      <w:lvlText w:val="(%1)"/>
      <w:numFmt w:val="lowerLetter"/>
      <w:start w:val="2"/>
    </w:lvl>
    <w:lvl w:ilvl="1">
      <w:lvlJc w:val="left"/>
      <w:lvlText w:val="%2"/>
      <w:numFmt w:val="lowerLetter"/>
      <w:start w:val="1"/>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Letter"/>
      <w:start w:val="3"/>
    </w:lvl>
  </w:abstractNum>
  <w:abstractNum w:abstractNumId="17">
    <w:nsid w:val="54E49EB4"/>
    <w:multiLevelType w:val="hybridMultilevel"/>
    <w:lvl w:ilvl="0">
      <w:lvlJc w:val="left"/>
      <w:lvlText w:val="(%1)"/>
      <w:numFmt w:val="upperLetter"/>
      <w:start w:val="1"/>
    </w:lvl>
  </w:abstractNum>
  <w:abstractNum w:abstractNumId="18">
    <w:nsid w:val="71F32454"/>
    <w:multiLevelType w:val="hybridMultilevel"/>
    <w:lvl w:ilvl="0">
      <w:lvlJc w:val="left"/>
      <w:lvlText w:val="(%1)"/>
      <w:numFmt w:val="upperLetter"/>
      <w:start w:val="24"/>
    </w:lvl>
  </w:abstractNum>
  <w:abstractNum w:abstractNumId="19">
    <w:nsid w:val="2CA88611"/>
    <w:multiLevelType w:val="hybridMultilevel"/>
    <w:lvl w:ilvl="0">
      <w:lvlJc w:val="left"/>
      <w:lvlText w:val="%1)"/>
      <w:numFmt w:val="lowerLetter"/>
      <w:start w:val="4"/>
    </w:lvl>
  </w:abstractNum>
  <w:abstractNum w:abstractNumId="20">
    <w:nsid w:val="836C40E"/>
    <w:multiLevelType w:val="hybridMultilevel"/>
    <w:lvl w:ilvl="0">
      <w:lvlJc w:val="left"/>
      <w:lvlText w:val="%1."/>
      <w:numFmt w:val="lowerRoman"/>
      <w:start w:val="2"/>
    </w:lvl>
    <w:lvl w:ilvl="1">
      <w:lvlJc w:val="left"/>
      <w:lvlText w:val="%2."/>
      <w:numFmt w:val="lowerRoman"/>
      <w:start w:val="3"/>
    </w:lvl>
  </w:abstractNum>
  <w:abstractNum w:abstractNumId="21">
    <w:nsid w:val="2901D82"/>
    <w:multiLevelType w:val="hybridMultilevel"/>
    <w:lvl w:ilvl="0">
      <w:lvlJc w:val="left"/>
      <w:lvlText w:val="%1"/>
      <w:numFmt w:val="lowerLetter"/>
      <w:start w:val="1"/>
    </w:lvl>
    <w:lvl w:ilvl="1">
      <w:lvlJc w:val="left"/>
      <w:lvlText w:val="%2."/>
      <w:numFmt w:val="lowerRoman"/>
      <w:start w:val="6"/>
    </w:lvl>
  </w:abstractNum>
  <w:abstractNum w:abstractNumId="22">
    <w:nsid w:val="3A95F874"/>
    <w:multiLevelType w:val="hybridMultilevel"/>
    <w:lvl w:ilvl="0">
      <w:lvlJc w:val="left"/>
      <w:lvlText w:val="%1)"/>
      <w:numFmt w:val="lowerLetter"/>
      <w:start w:val="5"/>
    </w:lvl>
    <w:lvl w:ilvl="1">
      <w:lvlJc w:val="left"/>
      <w:lvlText w:val="%2"/>
      <w:numFmt w:val="lowerRoman"/>
      <w:start w:val="1"/>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lowerLetter"/>
      <w:start w:val="4"/>
    </w:lvl>
  </w:abstractNum>
  <w:abstractNum w:abstractNumId="25">
    <w:nsid w:val="7C3DBD3D"/>
    <w:multiLevelType w:val="hybridMultilevel"/>
    <w:lvl w:ilvl="0">
      <w:lvlJc w:val="left"/>
      <w:lvlText w:val="%1)"/>
      <w:numFmt w:val="lowerLetter"/>
      <w:start w:val="5"/>
    </w:lvl>
    <w:lvl w:ilvl="1">
      <w:lvlJc w:val="left"/>
      <w:lvlText w:val="%2."/>
      <w:numFmt w:val="lowerRoman"/>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lowerLetter"/>
      <w:start w:val="2"/>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lowerLetter"/>
      <w:start w:val="2"/>
    </w:lvl>
  </w:abstractNum>
  <w:abstractNum w:abstractNumId="30">
    <w:nsid w:val="3006C83E"/>
    <w:multiLevelType w:val="hybridMultilevel"/>
    <w:lvl w:ilvl="0">
      <w:lvlJc w:val="left"/>
      <w:lvlText w:val="%1)"/>
      <w:numFmt w:val="lowerLetter"/>
      <w:start w:val="5"/>
    </w:lvl>
  </w:abstractNum>
  <w:abstractNum w:abstractNumId="31">
    <w:nsid w:val="614FD4A1"/>
    <w:multiLevelType w:val="hybridMultilevel"/>
    <w:lvl w:ilvl="0">
      <w:lvlJc w:val="left"/>
      <w:lvlText w:val="%1)"/>
      <w:numFmt w:val="lowerLetter"/>
      <w:start w:val="8"/>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2"/>
    </w:lvl>
    <w:lvl w:ilvl="1">
      <w:lvlJc w:val="left"/>
      <w:lvlText w:val="["/>
      <w:numFmt w:val="bullet"/>
      <w:start w:val="1"/>
    </w:lvl>
  </w:abstractNum>
  <w:abstractNum w:abstractNumId="34">
    <w:nsid w:val="440BADFC"/>
    <w:multiLevelType w:val="hybridMultilevel"/>
    <w:lvl w:ilvl="0">
      <w:lvlJc w:val="left"/>
      <w:lvlText w:val="(%1)"/>
      <w:numFmt w:val="decimal"/>
      <w:start w:val="4"/>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jpe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73" Type="http://schemas.openxmlformats.org/officeDocument/2006/relationships/image" Target="media/image43.png"/><Relationship Id="rId88" Type="http://schemas.openxmlformats.org/officeDocument/2006/relationships/image" Target="media/image44.png"/><Relationship Id="rId89" Type="http://schemas.openxmlformats.org/officeDocument/2006/relationships/image" Target="media/image45.png"/><Relationship Id="rId90" Type="http://schemas.openxmlformats.org/officeDocument/2006/relationships/image" Target="media/image46.png"/><Relationship Id="rId91" Type="http://schemas.openxmlformats.org/officeDocument/2006/relationships/image" Target="media/image47.png"/><Relationship Id="rId92" Type="http://schemas.openxmlformats.org/officeDocument/2006/relationships/image" Target="media/image48.png"/><Relationship Id="rId93" Type="http://schemas.openxmlformats.org/officeDocument/2006/relationships/image" Target="media/image49.png"/><Relationship Id="rId94" Type="http://schemas.openxmlformats.org/officeDocument/2006/relationships/image" Target="media/image50.png"/><Relationship Id="rId95" Type="http://schemas.openxmlformats.org/officeDocument/2006/relationships/image" Target="media/image51.png"/><Relationship Id="rId96" Type="http://schemas.openxmlformats.org/officeDocument/2006/relationships/image" Target="media/image52.png"/><Relationship Id="rId97" Type="http://schemas.openxmlformats.org/officeDocument/2006/relationships/image" Target="media/image53.png"/><Relationship Id="rId98" Type="http://schemas.openxmlformats.org/officeDocument/2006/relationships/image" Target="media/image54.png"/><Relationship Id="rId99" Type="http://schemas.openxmlformats.org/officeDocument/2006/relationships/image" Target="media/image55.png"/><Relationship Id="rId100" Type="http://schemas.openxmlformats.org/officeDocument/2006/relationships/image" Target="media/image56.png"/><Relationship Id="rId101" Type="http://schemas.openxmlformats.org/officeDocument/2006/relationships/image" Target="media/image57.png"/><Relationship Id="rId102" Type="http://schemas.openxmlformats.org/officeDocument/2006/relationships/image" Target="media/image58.png"/><Relationship Id="rId103" Type="http://schemas.openxmlformats.org/officeDocument/2006/relationships/image" Target="media/image59.png"/><Relationship Id="rId104" Type="http://schemas.openxmlformats.org/officeDocument/2006/relationships/image" Target="media/image60.png"/><Relationship Id="rId105" Type="http://schemas.openxmlformats.org/officeDocument/2006/relationships/image" Target="media/image61.png"/><Relationship Id="rId106" Type="http://schemas.openxmlformats.org/officeDocument/2006/relationships/image" Target="media/image62.png"/><Relationship Id="rId107" Type="http://schemas.openxmlformats.org/officeDocument/2006/relationships/image" Target="media/image63.png"/><Relationship Id="rId108" Type="http://schemas.openxmlformats.org/officeDocument/2006/relationships/image" Target="media/image64.png"/><Relationship Id="rId109" Type="http://schemas.openxmlformats.org/officeDocument/2006/relationships/image" Target="media/image65.png"/><Relationship Id="rId110" Type="http://schemas.openxmlformats.org/officeDocument/2006/relationships/image" Target="media/image66.jpeg"/><Relationship Id="rId111" Type="http://schemas.openxmlformats.org/officeDocument/2006/relationships/image" Target="media/image67.png"/><Relationship Id="rId112" Type="http://schemas.openxmlformats.org/officeDocument/2006/relationships/image" Target="media/image68.png"/><Relationship Id="rId113" Type="http://schemas.openxmlformats.org/officeDocument/2006/relationships/image" Target="media/image69.png"/><Relationship Id="rId114" Type="http://schemas.openxmlformats.org/officeDocument/2006/relationships/image" Target="media/image70.png"/><Relationship Id="rId115" Type="http://schemas.openxmlformats.org/officeDocument/2006/relationships/image" Target="media/image71.png"/><Relationship Id="rId42" Type="http://schemas.openxmlformats.org/officeDocument/2006/relationships/hyperlink" Target="https://www.sec.gov/Archives/edgar/data/1269026/000149315226011924/form10-k.htm" TargetMode="External"/><Relationship Id="rId43" Type="http://schemas.openxmlformats.org/officeDocument/2006/relationships/hyperlink" Target="https://www.sec.gov/Archives/edgar/data/1269026/000149315226023919/form10-q.htm" TargetMode="External"/><Relationship Id="rId44" Type="http://schemas.openxmlformats.org/officeDocument/2006/relationships/hyperlink" Target="https://www.sec.gov/Archives/edgar/data/1269026/000149315226007271/form8-k.htm" TargetMode="External"/><Relationship Id="rId45" Type="http://schemas.openxmlformats.org/officeDocument/2006/relationships/hyperlink" Target="https://www.sec.gov/Archives/edgar/data/1269026/000149315226025377/form8-k.htm" TargetMode="External"/><Relationship Id="rId46" Type="http://schemas.openxmlformats.org/officeDocument/2006/relationships/hyperlink" Target="https://www.sec.gov/Archives/edgar/data/1269026/000149315226026985/form8-k.htm" TargetMode="External"/><Relationship Id="rId47" Type="http://schemas.openxmlformats.org/officeDocument/2006/relationships/hyperlink" Target="https://www.sec.gov/Archives/edgar/data/1269026/000119312514040613/d672126d8a12b.htm" TargetMode="External"/><Relationship Id="rId48" Type="http://schemas.openxmlformats.org/officeDocument/2006/relationships/hyperlink" Target="https://www.sec.gov/Archives/edgar/data/1269026/000149315226011924/ex4-19.htm" TargetMode="External"/><Relationship Id="rId57" Type="http://schemas.openxmlformats.org/officeDocument/2006/relationships/hyperlink" Target="https://www.sec.gov/Archives/edgar/data/1269026/000149315218014199/ex2-1.htm" TargetMode="External"/><Relationship Id="rId58" Type="http://schemas.openxmlformats.org/officeDocument/2006/relationships/hyperlink" Target="https://www.sec.gov/Archives/edgar/data/1269026/000149315221017764/ex2-1.htm" TargetMode="External"/><Relationship Id="rId59" Type="http://schemas.openxmlformats.org/officeDocument/2006/relationships/hyperlink" Target="https://www.sec.gov/Archives/edgar/data/1269026/000149315225007635/ex1-1.htm" TargetMode="External"/><Relationship Id="rId60" Type="http://schemas.openxmlformats.org/officeDocument/2006/relationships/hyperlink" Target="https://www.sec.gov/Archives/edgar/data/1269026/000119312514025241/d593074dex41.htm" TargetMode="External"/><Relationship Id="rId61" Type="http://schemas.openxmlformats.org/officeDocument/2006/relationships/hyperlink" Target="https://www.sec.gov/Archives/edgar/data/1269026/000149315220001811/ex10-1.htm" TargetMode="External"/><Relationship Id="rId62" Type="http://schemas.openxmlformats.org/officeDocument/2006/relationships/hyperlink" Target="https://www.sec.gov/Archives/edgar/data/1269026/000149315222028681/ex4-1.htm" TargetMode="External"/><Relationship Id="rId63" Type="http://schemas.openxmlformats.org/officeDocument/2006/relationships/hyperlink" Target="https://www.sec.gov/Archives/edgar/data/1269026/000149315222028681/ex4-2.htm" TargetMode="External"/><Relationship Id="rId64" Type="http://schemas.openxmlformats.org/officeDocument/2006/relationships/hyperlink" Target="https://www.sec.gov/Archives/edgar/data/1269026/000149315222028681/ex4-3.htm" TargetMode="External"/><Relationship Id="rId65" Type="http://schemas.openxmlformats.org/officeDocument/2006/relationships/hyperlink" Target="https://www.sec.gov/Archives/edgar/data/1269026/000149315222028681/ex4-4.htm" TargetMode="External"/><Relationship Id="rId66" Type="http://schemas.openxmlformats.org/officeDocument/2006/relationships/hyperlink" Target="https://www.sec.gov/Archives/edgar/data/1269026/000149315223003769/ex4-13.htm" TargetMode="External"/><Relationship Id="rId67" Type="http://schemas.openxmlformats.org/officeDocument/2006/relationships/hyperlink" Target="https://www.sec.gov/Archives/edgar/data/1269026/000149315223003647/ex4-14.htm" TargetMode="External"/><Relationship Id="rId68" Type="http://schemas.openxmlformats.org/officeDocument/2006/relationships/hyperlink" Target="https://www.sec.gov/Archives/edgar/data/1269026/000149315223003769/ex4-15.htm" TargetMode="External"/><Relationship Id="rId69" Type="http://schemas.openxmlformats.org/officeDocument/2006/relationships/hyperlink" Target="https://www.sec.gov/Archives/edgar/data/1269026/000149315223003647/ex4-16.htm" TargetMode="External"/><Relationship Id="rId70" Type="http://schemas.openxmlformats.org/officeDocument/2006/relationships/hyperlink" Target="https://www.sec.gov/Archives/edgar/data/1269026/000149315223004104/ex4-5.htm" TargetMode="External"/><Relationship Id="rId71" Type="http://schemas.openxmlformats.org/officeDocument/2006/relationships/hyperlink" Target="https://www.sec.gov/Archives/edgar/data/1269026/000149315224004653/ex4-1.htm" TargetMode="External"/><Relationship Id="rId72" Type="http://schemas.openxmlformats.org/officeDocument/2006/relationships/hyperlink" Target="https://www.sec.gov/Archives/edgar/data/1269026/000149315224004653/ex4-2.htm" TargetMode="External"/><Relationship Id="rId74" Type="http://schemas.openxmlformats.org/officeDocument/2006/relationships/hyperlink" Target="https://www.sec.gov/Archives/edgar/data/1269026/000149315224004653/ex4-3.htm" TargetMode="External"/><Relationship Id="rId75" Type="http://schemas.openxmlformats.org/officeDocument/2006/relationships/hyperlink" Target="https://www.sec.gov/Archives/edgar/data/1269026/000149315224004653/ex4-4.htm" TargetMode="External"/><Relationship Id="rId76" Type="http://schemas.openxmlformats.org/officeDocument/2006/relationships/hyperlink" Target="https://www.sec.gov/Archives/edgar/data/1269026/000149315224004653/ex4-5.htm" TargetMode="External"/><Relationship Id="rId77" Type="http://schemas.openxmlformats.org/officeDocument/2006/relationships/hyperlink" Target="https://www.sec.gov/Archives/edgar/data/1269026/000149315223037042/ex4-14.htm" TargetMode="External"/><Relationship Id="rId78" Type="http://schemas.openxmlformats.org/officeDocument/2006/relationships/hyperlink" Target="https://www.sec.gov/Archives/edgar/data/1269026/000149315223037042/ex4-16.htm" TargetMode="External"/><Relationship Id="rId79" Type="http://schemas.openxmlformats.org/officeDocument/2006/relationships/hyperlink" Target="https://www.sec.gov/Archives/edgar/data/1269026/000149315225008277/ex4-1.htm" TargetMode="External"/><Relationship Id="rId80" Type="http://schemas.openxmlformats.org/officeDocument/2006/relationships/hyperlink" Target="https://www.sec.gov/Archives/edgar/data/1269026/000149315225008277/ex4-2.htm" TargetMode="External"/><Relationship Id="rId81" Type="http://schemas.openxmlformats.org/officeDocument/2006/relationships/hyperlink" Target="https://www.sec.gov/Archives/edgar/data/1269026/000149315225008277/ex4-3.htm" TargetMode="External"/><Relationship Id="rId82" Type="http://schemas.openxmlformats.org/officeDocument/2006/relationships/hyperlink" Target="https://www.sec.gov/Archives/edgar/data/1269026/000164117225016891/ex4-1.htm" TargetMode="External"/><Relationship Id="rId83" Type="http://schemas.openxmlformats.org/officeDocument/2006/relationships/hyperlink" Target="https://www.sec.gov/Archives/edgar/data/1269026/000149315225012834/ex10-2.htm" TargetMode="External"/><Relationship Id="rId84" Type="http://schemas.openxmlformats.org/officeDocument/2006/relationships/hyperlink" Target="https://www.sec.gov/Archives/edgar/data/1269026/000149315225012834/ex10-3.htm" TargetMode="External"/><Relationship Id="rId85" Type="http://schemas.openxmlformats.org/officeDocument/2006/relationships/hyperlink" Target="https://www.sec.gov/Archives/edgar/data/1269026/000149315225012834/ex10-4.htm" TargetMode="External"/><Relationship Id="rId86" Type="http://schemas.openxmlformats.org/officeDocument/2006/relationships/hyperlink" Target="https://www.sec.gov/Archives/edgar/data/1269026/000149315226026985/ex4-1.htm" TargetMode="External"/><Relationship Id="rId87" Type="http://schemas.openxmlformats.org/officeDocument/2006/relationships/hyperlink" Target="https://www.sec.gov/Archives/edgar/data/1269026/000149315226026985/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2026-06-25T05:20:00Z</dcterms:created>
  <dcterms:modified xsi:type="dcterms:W3CDTF">2026-06-25T05:20:00Z</dcterms:modified>
</cp:coreProperties>
</file>